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66346">
      <w:pPr>
        <w:spacing w:line="500" w:lineRule="atLeast"/>
        <w:jc w:val="center"/>
        <w:divId w:val="329018764"/>
        <w:rPr>
          <w:rFonts w:ascii="黑体" w:eastAsia="黑体" w:hAnsi="黑体"/>
          <w:sz w:val="36"/>
          <w:szCs w:val="36"/>
        </w:rPr>
      </w:pPr>
      <w:bookmarkStart w:id="0" w:name="_GoBack"/>
      <w:bookmarkEnd w:id="0"/>
      <w:r>
        <w:rPr>
          <w:rFonts w:ascii="黑体" w:eastAsia="黑体" w:hAnsi="黑体" w:hint="eastAsia"/>
          <w:sz w:val="36"/>
          <w:szCs w:val="36"/>
        </w:rPr>
        <w:t>广东省高级人民法院</w:t>
      </w:r>
    </w:p>
    <w:p w:rsidR="00000000" w:rsidRDefault="00866346">
      <w:pPr>
        <w:spacing w:line="500" w:lineRule="atLeast"/>
        <w:jc w:val="center"/>
        <w:divId w:val="12143932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66346">
      <w:pPr>
        <w:spacing w:line="500" w:lineRule="atLeast"/>
        <w:jc w:val="right"/>
        <w:divId w:val="2094617108"/>
        <w:rPr>
          <w:rFonts w:hint="eastAsia"/>
          <w:sz w:val="30"/>
          <w:szCs w:val="30"/>
        </w:rPr>
      </w:pPr>
      <w:r>
        <w:rPr>
          <w:rFonts w:hint="eastAsia"/>
          <w:sz w:val="30"/>
          <w:szCs w:val="30"/>
        </w:rPr>
        <w:t>（</w:t>
      </w:r>
      <w:r>
        <w:rPr>
          <w:rFonts w:hint="eastAsia"/>
          <w:sz w:val="30"/>
          <w:szCs w:val="30"/>
        </w:rPr>
        <w:t>2019</w:t>
      </w:r>
      <w:r>
        <w:rPr>
          <w:rFonts w:hint="eastAsia"/>
          <w:sz w:val="30"/>
          <w:szCs w:val="30"/>
        </w:rPr>
        <w:t>）粤民申</w:t>
      </w:r>
      <w:r>
        <w:rPr>
          <w:rFonts w:hint="eastAsia"/>
          <w:sz w:val="30"/>
          <w:szCs w:val="30"/>
        </w:rPr>
        <w:t>12739</w:t>
      </w:r>
      <w:r>
        <w:rPr>
          <w:rFonts w:hint="eastAsia"/>
          <w:sz w:val="30"/>
          <w:szCs w:val="30"/>
        </w:rPr>
        <w:t>号</w:t>
      </w:r>
    </w:p>
    <w:p w:rsidR="00000000" w:rsidRDefault="00866346">
      <w:pPr>
        <w:spacing w:line="500" w:lineRule="atLeast"/>
        <w:ind w:firstLine="600"/>
        <w:divId w:val="1473912888"/>
        <w:rPr>
          <w:rFonts w:hint="eastAsia"/>
          <w:sz w:val="30"/>
          <w:szCs w:val="30"/>
        </w:rPr>
      </w:pPr>
      <w:r>
        <w:rPr>
          <w:rFonts w:hint="eastAsia"/>
          <w:sz w:val="30"/>
          <w:szCs w:val="30"/>
        </w:rPr>
        <w:t>再审申请人（一审原告、二审上诉人）：何伟成，男，</w:t>
      </w:r>
      <w:r>
        <w:rPr>
          <w:rFonts w:hint="eastAsia"/>
          <w:sz w:val="30"/>
          <w:szCs w:val="30"/>
        </w:rPr>
        <w:t>1967</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日出生，汉族，住广东省广州市天河区。</w:t>
      </w:r>
    </w:p>
    <w:p w:rsidR="00000000" w:rsidRDefault="00866346">
      <w:pPr>
        <w:spacing w:line="500" w:lineRule="atLeast"/>
        <w:ind w:firstLine="600"/>
        <w:divId w:val="643005424"/>
        <w:rPr>
          <w:rFonts w:hint="eastAsia"/>
          <w:sz w:val="30"/>
          <w:szCs w:val="30"/>
        </w:rPr>
      </w:pPr>
      <w:r>
        <w:rPr>
          <w:rFonts w:hint="eastAsia"/>
          <w:sz w:val="30"/>
          <w:szCs w:val="30"/>
        </w:rPr>
        <w:t>被申请人（一审被告、二审上诉人）：广东省人民医院。住所地：广东省广州市越秀区中山二路</w:t>
      </w:r>
      <w:r>
        <w:rPr>
          <w:rFonts w:hint="eastAsia"/>
          <w:sz w:val="30"/>
          <w:szCs w:val="30"/>
        </w:rPr>
        <w:t>106</w:t>
      </w:r>
      <w:r>
        <w:rPr>
          <w:rFonts w:hint="eastAsia"/>
          <w:sz w:val="30"/>
          <w:szCs w:val="30"/>
        </w:rPr>
        <w:t>号。</w:t>
      </w:r>
    </w:p>
    <w:p w:rsidR="00000000" w:rsidRDefault="00866346">
      <w:pPr>
        <w:spacing w:line="500" w:lineRule="atLeast"/>
        <w:ind w:firstLine="600"/>
        <w:divId w:val="1502771969"/>
        <w:rPr>
          <w:rFonts w:hint="eastAsia"/>
          <w:sz w:val="30"/>
          <w:szCs w:val="30"/>
        </w:rPr>
      </w:pPr>
      <w:r>
        <w:rPr>
          <w:rFonts w:hint="eastAsia"/>
          <w:sz w:val="30"/>
          <w:szCs w:val="30"/>
        </w:rPr>
        <w:t>法定代表人：余学清，院长。</w:t>
      </w:r>
    </w:p>
    <w:p w:rsidR="00000000" w:rsidRDefault="00866346">
      <w:pPr>
        <w:spacing w:line="500" w:lineRule="atLeast"/>
        <w:ind w:firstLine="600"/>
        <w:divId w:val="222831453"/>
        <w:rPr>
          <w:rFonts w:hint="eastAsia"/>
          <w:sz w:val="30"/>
          <w:szCs w:val="30"/>
        </w:rPr>
      </w:pPr>
      <w:r>
        <w:rPr>
          <w:rFonts w:hint="eastAsia"/>
          <w:sz w:val="30"/>
          <w:szCs w:val="30"/>
        </w:rPr>
        <w:t>委托诉讼代理人：卢楚晓，广东品泓律师事务所律师。</w:t>
      </w:r>
    </w:p>
    <w:p w:rsidR="00000000" w:rsidRDefault="00866346">
      <w:pPr>
        <w:spacing w:line="500" w:lineRule="atLeast"/>
        <w:ind w:firstLine="600"/>
        <w:divId w:val="879561329"/>
        <w:rPr>
          <w:rFonts w:hint="eastAsia"/>
          <w:sz w:val="30"/>
          <w:szCs w:val="30"/>
        </w:rPr>
      </w:pPr>
      <w:r>
        <w:rPr>
          <w:rFonts w:hint="eastAsia"/>
          <w:sz w:val="30"/>
          <w:szCs w:val="30"/>
        </w:rPr>
        <w:t>委托诉讼代理人：李耀波，广东品泓律师事务所实习律师。</w:t>
      </w:r>
    </w:p>
    <w:p w:rsidR="00000000" w:rsidRDefault="00866346">
      <w:pPr>
        <w:spacing w:line="500" w:lineRule="atLeast"/>
        <w:ind w:firstLine="600"/>
        <w:divId w:val="520823178"/>
        <w:rPr>
          <w:rFonts w:hint="eastAsia"/>
          <w:sz w:val="30"/>
          <w:szCs w:val="30"/>
        </w:rPr>
      </w:pPr>
      <w:r>
        <w:rPr>
          <w:rFonts w:hint="eastAsia"/>
          <w:sz w:val="30"/>
          <w:szCs w:val="30"/>
        </w:rPr>
        <w:t>再审申请人何伟成因与被申请人广东省人民医院医疗损害责任纠纷一案，不服广东省广州市中级人民法院（</w:t>
      </w:r>
      <w:r>
        <w:rPr>
          <w:rFonts w:hint="eastAsia"/>
          <w:sz w:val="30"/>
          <w:szCs w:val="30"/>
        </w:rPr>
        <w:t>2019</w:t>
      </w:r>
      <w:r>
        <w:rPr>
          <w:rFonts w:hint="eastAsia"/>
          <w:sz w:val="30"/>
          <w:szCs w:val="30"/>
        </w:rPr>
        <w:t>）粤</w:t>
      </w:r>
      <w:r>
        <w:rPr>
          <w:rFonts w:hint="eastAsia"/>
          <w:sz w:val="30"/>
          <w:szCs w:val="30"/>
        </w:rPr>
        <w:t>01</w:t>
      </w:r>
      <w:r>
        <w:rPr>
          <w:rFonts w:hint="eastAsia"/>
          <w:sz w:val="30"/>
          <w:szCs w:val="30"/>
        </w:rPr>
        <w:t>民终</w:t>
      </w:r>
      <w:r>
        <w:rPr>
          <w:rFonts w:hint="eastAsia"/>
          <w:sz w:val="30"/>
          <w:szCs w:val="30"/>
        </w:rPr>
        <w:t>4573</w:t>
      </w:r>
      <w:r>
        <w:rPr>
          <w:rFonts w:hint="eastAsia"/>
          <w:sz w:val="30"/>
          <w:szCs w:val="30"/>
        </w:rPr>
        <w:t>号民事判决，向本院申请再审。本院依法组成合议庭进行了审查，现已审查终结。</w:t>
      </w:r>
    </w:p>
    <w:p w:rsidR="00000000" w:rsidRDefault="00866346">
      <w:pPr>
        <w:spacing w:line="500" w:lineRule="atLeast"/>
        <w:ind w:firstLine="600"/>
        <w:divId w:val="1282569567"/>
        <w:rPr>
          <w:rFonts w:hint="eastAsia"/>
          <w:sz w:val="30"/>
          <w:szCs w:val="30"/>
        </w:rPr>
      </w:pPr>
      <w:r>
        <w:rPr>
          <w:rFonts w:hint="eastAsia"/>
          <w:sz w:val="30"/>
          <w:szCs w:val="30"/>
        </w:rPr>
        <w:t>何伟成申请再审称，（一）原判决认定何伟成承担</w:t>
      </w:r>
      <w:r>
        <w:rPr>
          <w:rFonts w:hint="eastAsia"/>
          <w:sz w:val="30"/>
          <w:szCs w:val="30"/>
        </w:rPr>
        <w:t>30%</w:t>
      </w:r>
      <w:r>
        <w:rPr>
          <w:rFonts w:hint="eastAsia"/>
          <w:sz w:val="30"/>
          <w:szCs w:val="30"/>
        </w:rPr>
        <w:t>的责任，缺乏证据证明。侵权责任法没有将自身体质、患病原因归咎于患者，不能因患者患病而推定其存在过错；该法也未规定因存在医疗风险而由患者分担医疗机构的过错。广东省人民医院不存在免责的事由，其在术中未尽谨慎注意义务导致何伟成脊髓损伤。原判决以所谓自然转归为由作出的责任分</w:t>
      </w:r>
      <w:r>
        <w:rPr>
          <w:rFonts w:hint="eastAsia"/>
          <w:sz w:val="30"/>
          <w:szCs w:val="30"/>
        </w:rPr>
        <w:t>担认定不符合侵权责任法的规定，有失公允。（二）何伟成二审中提供的新证据足以推翻一审判决对双方责任比例的认定。</w:t>
      </w:r>
      <w:r>
        <w:rPr>
          <w:rFonts w:hint="eastAsia"/>
          <w:sz w:val="30"/>
          <w:szCs w:val="30"/>
        </w:rPr>
        <w:t>1.</w:t>
      </w:r>
      <w:r>
        <w:rPr>
          <w:rFonts w:hint="eastAsia"/>
          <w:sz w:val="30"/>
          <w:szCs w:val="30"/>
        </w:rPr>
        <w:t>何伟成提供的二审新证据可以证明广东省人民医院拖延封存病历</w:t>
      </w:r>
      <w:r>
        <w:rPr>
          <w:rFonts w:hint="eastAsia"/>
          <w:sz w:val="30"/>
          <w:szCs w:val="30"/>
        </w:rPr>
        <w:t>48</w:t>
      </w:r>
      <w:r>
        <w:rPr>
          <w:rFonts w:hint="eastAsia"/>
          <w:sz w:val="30"/>
          <w:szCs w:val="30"/>
        </w:rPr>
        <w:t>天。何伟成于</w:t>
      </w:r>
      <w:r>
        <w:rPr>
          <w:rFonts w:hint="eastAsia"/>
          <w:sz w:val="30"/>
          <w:szCs w:val="30"/>
        </w:rPr>
        <w:t>2011</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日要求封存病历，但广东省人民医院于</w:t>
      </w:r>
      <w:r>
        <w:rPr>
          <w:rFonts w:hint="eastAsia"/>
          <w:sz w:val="30"/>
          <w:szCs w:val="30"/>
        </w:rPr>
        <w:t>11</w:t>
      </w:r>
      <w:r>
        <w:rPr>
          <w:rFonts w:hint="eastAsia"/>
          <w:sz w:val="30"/>
          <w:szCs w:val="30"/>
        </w:rPr>
        <w:t>月</w:t>
      </w:r>
      <w:r>
        <w:rPr>
          <w:rFonts w:hint="eastAsia"/>
          <w:sz w:val="30"/>
          <w:szCs w:val="30"/>
        </w:rPr>
        <w:t>2</w:t>
      </w:r>
      <w:r>
        <w:rPr>
          <w:rFonts w:hint="eastAsia"/>
          <w:sz w:val="30"/>
          <w:szCs w:val="30"/>
        </w:rPr>
        <w:t>日才封存。对此，一审法院却未作认定。广东省人民医院在明知何伟成出现术中瘫痪之后，对何伟成封存病历</w:t>
      </w:r>
      <w:r>
        <w:rPr>
          <w:rFonts w:hint="eastAsia"/>
          <w:sz w:val="30"/>
          <w:szCs w:val="30"/>
        </w:rPr>
        <w:lastRenderedPageBreak/>
        <w:t>的要求设置障碍，侵犯何伟成及时收集证据的权利，导致本案错过固定证据的正当时机。且何伟成的住院主管医生未取得执业医师证，故对广东省人民医院的违法行为应予惩罚、加大其应承担的责</w:t>
      </w:r>
      <w:r>
        <w:rPr>
          <w:rFonts w:hint="eastAsia"/>
          <w:sz w:val="30"/>
          <w:szCs w:val="30"/>
        </w:rPr>
        <w:t>任。</w:t>
      </w:r>
      <w:r>
        <w:rPr>
          <w:rFonts w:hint="eastAsia"/>
          <w:sz w:val="30"/>
          <w:szCs w:val="30"/>
        </w:rPr>
        <w:t>2.2019</w:t>
      </w:r>
      <w:r>
        <w:rPr>
          <w:rFonts w:hint="eastAsia"/>
          <w:sz w:val="30"/>
          <w:szCs w:val="30"/>
        </w:rPr>
        <w:t>年</w:t>
      </w:r>
      <w:r>
        <w:rPr>
          <w:rFonts w:hint="eastAsia"/>
          <w:sz w:val="30"/>
          <w:szCs w:val="30"/>
        </w:rPr>
        <w:t>7</w:t>
      </w:r>
      <w:r>
        <w:rPr>
          <w:rFonts w:hint="eastAsia"/>
          <w:sz w:val="30"/>
          <w:szCs w:val="30"/>
        </w:rPr>
        <w:t>月</w:t>
      </w:r>
      <w:r>
        <w:rPr>
          <w:rFonts w:hint="eastAsia"/>
          <w:sz w:val="30"/>
          <w:szCs w:val="30"/>
        </w:rPr>
        <w:t>3</w:t>
      </w:r>
      <w:r>
        <w:rPr>
          <w:rFonts w:hint="eastAsia"/>
          <w:sz w:val="30"/>
          <w:szCs w:val="30"/>
        </w:rPr>
        <w:t>日市卫健委在《答复函》中，认定广东省人民医院没有向卫生行政部门上报何伟成的医疗质量安全事件。同年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日及</w:t>
      </w:r>
      <w:r>
        <w:rPr>
          <w:rFonts w:hint="eastAsia"/>
          <w:sz w:val="30"/>
          <w:szCs w:val="30"/>
        </w:rPr>
        <w:t>23</w:t>
      </w:r>
      <w:r>
        <w:rPr>
          <w:rFonts w:hint="eastAsia"/>
          <w:sz w:val="30"/>
          <w:szCs w:val="30"/>
        </w:rPr>
        <w:t>日，市卫健委分别就广东省人民医院及舒航医生（何伟成的手术主刀医生）伪造病历的行为，发出两份《卫生监督意见书》。同年</w:t>
      </w:r>
      <w:r>
        <w:rPr>
          <w:rFonts w:hint="eastAsia"/>
          <w:sz w:val="30"/>
          <w:szCs w:val="30"/>
        </w:rPr>
        <w:t>8</w:t>
      </w:r>
      <w:r>
        <w:rPr>
          <w:rFonts w:hint="eastAsia"/>
          <w:sz w:val="30"/>
          <w:szCs w:val="30"/>
        </w:rPr>
        <w:t>月</w:t>
      </w:r>
      <w:r>
        <w:rPr>
          <w:rFonts w:hint="eastAsia"/>
          <w:sz w:val="30"/>
          <w:szCs w:val="30"/>
        </w:rPr>
        <w:t>2</w:t>
      </w:r>
      <w:r>
        <w:rPr>
          <w:rFonts w:hint="eastAsia"/>
          <w:sz w:val="30"/>
          <w:szCs w:val="30"/>
        </w:rPr>
        <w:t>日市卫健委在《答复函》中认定，广东省人民医院伪造何伟成体征的《病程记录》《主任医师查房记录》《会诊记录》等病历资料，查明广东省人民医院在何伟成出院</w:t>
      </w:r>
      <w:r>
        <w:rPr>
          <w:rFonts w:hint="eastAsia"/>
          <w:sz w:val="30"/>
          <w:szCs w:val="30"/>
        </w:rPr>
        <w:t>50</w:t>
      </w:r>
      <w:r>
        <w:rPr>
          <w:rFonts w:hint="eastAsia"/>
          <w:sz w:val="30"/>
          <w:szCs w:val="30"/>
        </w:rPr>
        <w:t>天后的</w:t>
      </w:r>
      <w:r>
        <w:rPr>
          <w:rFonts w:hint="eastAsia"/>
          <w:sz w:val="30"/>
          <w:szCs w:val="30"/>
        </w:rPr>
        <w:t>2011</w:t>
      </w:r>
      <w:r>
        <w:rPr>
          <w:rFonts w:hint="eastAsia"/>
          <w:sz w:val="30"/>
          <w:szCs w:val="30"/>
        </w:rPr>
        <w:t>年</w:t>
      </w:r>
      <w:r>
        <w:rPr>
          <w:rFonts w:hint="eastAsia"/>
          <w:sz w:val="30"/>
          <w:szCs w:val="30"/>
        </w:rPr>
        <w:t>7</w:t>
      </w:r>
      <w:r>
        <w:rPr>
          <w:rFonts w:hint="eastAsia"/>
          <w:sz w:val="30"/>
          <w:szCs w:val="30"/>
        </w:rPr>
        <w:t>月</w:t>
      </w:r>
      <w:r>
        <w:rPr>
          <w:rFonts w:hint="eastAsia"/>
          <w:sz w:val="30"/>
          <w:szCs w:val="30"/>
        </w:rPr>
        <w:t>6</w:t>
      </w:r>
      <w:r>
        <w:rPr>
          <w:rFonts w:hint="eastAsia"/>
          <w:sz w:val="30"/>
          <w:szCs w:val="30"/>
        </w:rPr>
        <w:t>日才创建电子病历。同年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日市卫健委在《答复函》中认定，广东省人民医院制作临时</w:t>
      </w:r>
      <w:r>
        <w:rPr>
          <w:rFonts w:hint="eastAsia"/>
          <w:sz w:val="30"/>
          <w:szCs w:val="30"/>
        </w:rPr>
        <w:t>医嘱单违反《病历书写基本规范》，并责令其整改。广东省人民医院提供的病历是后补的，不真实、不合法。二审判决后取得的上述新证据，足以推翻一审、二审判决所作的责任认定。（三）何伟成书面指出涉案病历中存在</w:t>
      </w:r>
      <w:r>
        <w:rPr>
          <w:rFonts w:hint="eastAsia"/>
          <w:sz w:val="30"/>
          <w:szCs w:val="30"/>
        </w:rPr>
        <w:t>50</w:t>
      </w:r>
      <w:r>
        <w:rPr>
          <w:rFonts w:hint="eastAsia"/>
          <w:sz w:val="30"/>
          <w:szCs w:val="30"/>
        </w:rPr>
        <w:t>多处明显矛盾、错误、事实不符之处，一审法院却没有进行审查。基于纸质病历存在上述问题，何伟成申请调取电子病历的后台数据以查明每条病历的原创时间、创建人及原始内容，每一次修改时间、修改人、修改内容及最终完成时间，进而判断广东省人民医院制作的病历是否存在非法修改、伪造。但一审法院未进行调查取证。（四）本案立案后</w:t>
      </w:r>
      <w:r>
        <w:rPr>
          <w:rFonts w:hint="eastAsia"/>
          <w:sz w:val="30"/>
          <w:szCs w:val="30"/>
        </w:rPr>
        <w:t>6</w:t>
      </w:r>
      <w:r>
        <w:rPr>
          <w:rFonts w:hint="eastAsia"/>
          <w:sz w:val="30"/>
          <w:szCs w:val="30"/>
        </w:rPr>
        <w:t>年多</w:t>
      </w:r>
      <w:r>
        <w:rPr>
          <w:rFonts w:hint="eastAsia"/>
          <w:sz w:val="30"/>
          <w:szCs w:val="30"/>
        </w:rPr>
        <w:t>，一审法院一直未组织双方对病历进行质证。</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日开庭质证，广东省人民医院没有提供病历原件与封存件。对何伟成的质证意见，广东省人民医院表示庭后提供回应意见，但事实上并没有提供。</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日最后一次开庭时，由于广东省人民医院提供的病历复印件的页数与医患双方共同封存病历</w:t>
      </w:r>
      <w:r>
        <w:rPr>
          <w:rFonts w:hint="eastAsia"/>
          <w:sz w:val="30"/>
          <w:szCs w:val="30"/>
        </w:rPr>
        <w:lastRenderedPageBreak/>
        <w:t>时所确认的封存件页数不一致，封存件的外封包明显添加了透明封箱纸，一审法院立即将封存件退回广东省人民医院，导致对病历封存件至今没有拆封、质证。广东省人民医院拒不提供涉案</w:t>
      </w:r>
      <w:r>
        <w:rPr>
          <w:rFonts w:hint="eastAsia"/>
          <w:sz w:val="30"/>
          <w:szCs w:val="30"/>
        </w:rPr>
        <w:t>DSA</w:t>
      </w:r>
      <w:r>
        <w:rPr>
          <w:rFonts w:hint="eastAsia"/>
          <w:sz w:val="30"/>
          <w:szCs w:val="30"/>
        </w:rPr>
        <w:t>动态影像资料，导致因果关系与过错无法鉴定。正因病历资料存</w:t>
      </w:r>
      <w:r>
        <w:rPr>
          <w:rFonts w:hint="eastAsia"/>
          <w:sz w:val="30"/>
          <w:szCs w:val="30"/>
        </w:rPr>
        <w:t>在矛盾与错误，一审法院多次委托鉴定未果，导致本案无法通过鉴定查明过错，故应依照侵权责任法第五十条规定，《卫生部关于医疗机构不配合医疗事故技术鉴定所应承担的责任的批复》，并参考最高人民法院（</w:t>
      </w:r>
      <w:r>
        <w:rPr>
          <w:rFonts w:hint="eastAsia"/>
          <w:sz w:val="30"/>
          <w:szCs w:val="30"/>
        </w:rPr>
        <w:t>2016</w:t>
      </w:r>
      <w:r>
        <w:rPr>
          <w:rFonts w:hint="eastAsia"/>
          <w:sz w:val="30"/>
          <w:szCs w:val="30"/>
        </w:rPr>
        <w:t>）最高法民再第</w:t>
      </w:r>
      <w:r>
        <w:rPr>
          <w:rFonts w:hint="eastAsia"/>
          <w:sz w:val="30"/>
          <w:szCs w:val="30"/>
        </w:rPr>
        <w:t>285</w:t>
      </w:r>
      <w:r>
        <w:rPr>
          <w:rFonts w:hint="eastAsia"/>
          <w:sz w:val="30"/>
          <w:szCs w:val="30"/>
        </w:rPr>
        <w:t>号民事判决，由广东省人民医院承担全部责任。（五）一审法院违反法定程序，遗漏何伟成的诉讼请求。</w:t>
      </w:r>
      <w:r>
        <w:rPr>
          <w:rFonts w:hint="eastAsia"/>
          <w:sz w:val="30"/>
          <w:szCs w:val="30"/>
        </w:rPr>
        <w:t>1.2012</w:t>
      </w:r>
      <w:r>
        <w:rPr>
          <w:rFonts w:hint="eastAsia"/>
          <w:sz w:val="30"/>
          <w:szCs w:val="30"/>
        </w:rPr>
        <w:t>年</w:t>
      </w:r>
      <w:r>
        <w:rPr>
          <w:rFonts w:hint="eastAsia"/>
          <w:sz w:val="30"/>
          <w:szCs w:val="30"/>
        </w:rPr>
        <w:t>3</w:t>
      </w:r>
      <w:r>
        <w:rPr>
          <w:rFonts w:hint="eastAsia"/>
          <w:sz w:val="30"/>
          <w:szCs w:val="30"/>
        </w:rPr>
        <w:t>月何伟成在起诉时一并提交伤残鉴定申请。在广东南天司法鉴定所使用非法材料进行医疗过错鉴定并出具虚假鉴定结论的情形下，何伟成理当在进行伤残鉴定的同时请求同步解决医疗损害鉴定问题，不存在一审法院</w:t>
      </w:r>
      <w:r>
        <w:rPr>
          <w:rFonts w:hint="eastAsia"/>
          <w:sz w:val="30"/>
          <w:szCs w:val="30"/>
        </w:rPr>
        <w:t>《通知书》所称“以医疗损害鉴定未解决为由不配合伤残鉴定”。</w:t>
      </w:r>
      <w:r>
        <w:rPr>
          <w:rFonts w:hint="eastAsia"/>
          <w:sz w:val="30"/>
          <w:szCs w:val="30"/>
        </w:rPr>
        <w:t>2.</w:t>
      </w:r>
      <w:r>
        <w:rPr>
          <w:rFonts w:hint="eastAsia"/>
          <w:sz w:val="30"/>
          <w:szCs w:val="30"/>
        </w:rPr>
        <w:t>根据</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22</w:t>
      </w:r>
      <w:r>
        <w:rPr>
          <w:rFonts w:hint="eastAsia"/>
          <w:sz w:val="30"/>
          <w:szCs w:val="30"/>
        </w:rPr>
        <w:t>日中山大学法医鉴定中心《答复函》，该次鉴定并非因何伟成的原因无法完成，而是因为“发现鉴定材料不真实、不完整、不充分或者取得方式不合法”。但伤残鉴定是以人体现状为基础、病历为辅，故何伟成于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日书面向一审法院提出，不认可该中心不予受理的理由。</w:t>
      </w:r>
      <w:r>
        <w:rPr>
          <w:rFonts w:hint="eastAsia"/>
          <w:sz w:val="30"/>
          <w:szCs w:val="30"/>
        </w:rPr>
        <w:t>3.2018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日开庭，一审法院在尚未对病历进行质证的情形下告知“本院不能直接认定病历的真实性问题”，突然宣布不再委托伤残鉴定。何伟成在庭后提交《关于本案的伤残鉴定问题</w:t>
      </w:r>
      <w:r>
        <w:rPr>
          <w:rFonts w:hint="eastAsia"/>
          <w:sz w:val="30"/>
          <w:szCs w:val="30"/>
        </w:rPr>
        <w:t>》，明确“本案没有相关伤残鉴定结果而直接作出判决”不公，如一审法院不继续委托鉴定，应尽快告知何伟成，由何伟成自行委托伤残鉴定，并在鉴定结果提交质证后再下判。</w:t>
      </w:r>
      <w:r>
        <w:rPr>
          <w:rFonts w:hint="eastAsia"/>
          <w:sz w:val="30"/>
          <w:szCs w:val="30"/>
        </w:rPr>
        <w:t>4.2018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日，暨南大学司法鉴定中心出具《司法鉴定意见书》，何伟成将该证据提交一审法院后，广东省人民医院没有足以反驳的相反证据。一审法院没有组织双方对该鉴定意见进行质证，即于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7</w:t>
      </w:r>
      <w:r>
        <w:rPr>
          <w:rFonts w:hint="eastAsia"/>
          <w:sz w:val="30"/>
          <w:szCs w:val="30"/>
        </w:rPr>
        <w:t>日作出判决。一审法院剥夺了何伟成对伤残及护理事实进行举证的权利，导致何伟成残疾事实得不到认定。（六）一审、二审判决适用法律错误。</w:t>
      </w:r>
      <w:r>
        <w:rPr>
          <w:rFonts w:hint="eastAsia"/>
          <w:sz w:val="30"/>
          <w:szCs w:val="30"/>
        </w:rPr>
        <w:t>1.</w:t>
      </w:r>
      <w:r>
        <w:rPr>
          <w:rFonts w:hint="eastAsia"/>
          <w:sz w:val="30"/>
          <w:szCs w:val="30"/>
        </w:rPr>
        <w:t>至</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日，法</w:t>
      </w:r>
      <w:r>
        <w:rPr>
          <w:rFonts w:hint="eastAsia"/>
          <w:sz w:val="30"/>
          <w:szCs w:val="30"/>
        </w:rPr>
        <w:t>庭辩论并未结束，一审判决援引《最高人民法院关于适</w:t>
      </w:r>
      <w:r>
        <w:rPr>
          <w:rFonts w:hint="eastAsia"/>
          <w:sz w:val="30"/>
          <w:szCs w:val="30"/>
        </w:rPr>
        <w:t>用</w:t>
      </w:r>
      <w:r>
        <w:rPr>
          <w:rFonts w:hint="eastAsia"/>
          <w:sz w:val="30"/>
          <w:szCs w:val="30"/>
        </w:rPr>
        <w:t>的解释》第二百三十二条的规定，不准许何伟成于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14</w:t>
      </w:r>
      <w:r>
        <w:rPr>
          <w:rFonts w:hint="eastAsia"/>
          <w:sz w:val="30"/>
          <w:szCs w:val="30"/>
        </w:rPr>
        <w:t>日变更诉求，适用法律错误。</w:t>
      </w:r>
      <w:r>
        <w:rPr>
          <w:rFonts w:hint="eastAsia"/>
          <w:sz w:val="30"/>
          <w:szCs w:val="30"/>
        </w:rPr>
        <w:t>2.</w:t>
      </w:r>
      <w:r>
        <w:rPr>
          <w:rFonts w:hint="eastAsia"/>
          <w:sz w:val="30"/>
          <w:szCs w:val="30"/>
        </w:rPr>
        <w:t>《最高人民法院关于审理人身损害赔偿案件适用法律若干问题的解释》第二十条规定，受害人因伤致残持续误工的，误工时间可以计算至定残日前一天。但一审、二审判决根据《人身损害受伤人员误工损失日评定准则》，酌情确定何伟成的误工时间为</w:t>
      </w:r>
      <w:r>
        <w:rPr>
          <w:rFonts w:hint="eastAsia"/>
          <w:sz w:val="30"/>
          <w:szCs w:val="30"/>
        </w:rPr>
        <w:t>900</w:t>
      </w:r>
      <w:r>
        <w:rPr>
          <w:rFonts w:hint="eastAsia"/>
          <w:sz w:val="30"/>
          <w:szCs w:val="30"/>
        </w:rPr>
        <w:t>天，适用法律错误。（七）一审、二审判决对护理费、伤残赔偿金的认定错误。</w:t>
      </w:r>
      <w:r>
        <w:rPr>
          <w:rFonts w:hint="eastAsia"/>
          <w:sz w:val="30"/>
          <w:szCs w:val="30"/>
        </w:rPr>
        <w:t>1.</w:t>
      </w:r>
      <w:r>
        <w:rPr>
          <w:rFonts w:hint="eastAsia"/>
          <w:sz w:val="30"/>
          <w:szCs w:val="30"/>
        </w:rPr>
        <w:t>一审、二审判决不予处理</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日的护理费、</w:t>
      </w:r>
      <w:r>
        <w:rPr>
          <w:rFonts w:hint="eastAsia"/>
          <w:sz w:val="30"/>
          <w:szCs w:val="30"/>
        </w:rPr>
        <w:t>何伟成的精神损失抚慰金错误。何伟成重度残疾、生活不能自理、需要护理的事实清楚。</w:t>
      </w:r>
      <w:r>
        <w:rPr>
          <w:rFonts w:hint="eastAsia"/>
          <w:sz w:val="30"/>
          <w:szCs w:val="30"/>
        </w:rPr>
        <w:t>2.</w:t>
      </w:r>
      <w:r>
        <w:rPr>
          <w:rFonts w:hint="eastAsia"/>
          <w:sz w:val="30"/>
          <w:szCs w:val="30"/>
        </w:rPr>
        <w:t>一审、二审判决未处理残疾赔偿金、伤残鉴定费、检测费等诉求错误。</w:t>
      </w:r>
    </w:p>
    <w:p w:rsidR="00000000" w:rsidRDefault="00866346">
      <w:pPr>
        <w:spacing w:line="500" w:lineRule="atLeast"/>
        <w:ind w:firstLine="600"/>
        <w:divId w:val="1889223927"/>
        <w:rPr>
          <w:rFonts w:hint="eastAsia"/>
          <w:sz w:val="30"/>
          <w:szCs w:val="30"/>
        </w:rPr>
      </w:pPr>
      <w:r>
        <w:rPr>
          <w:rFonts w:hint="eastAsia"/>
          <w:sz w:val="30"/>
          <w:szCs w:val="30"/>
        </w:rPr>
        <w:t>广东省人民医院提交意见称：（一）何伟成诊断为脊髓内动静脉畸形。根据人民卫生出版社出版的《卫生学》，该病症治疗风险较大，并发症较严重。广东省人民医院详细告知何伟成及其家属手术治疗的必要性和风险后，何伟成及其家属均表示理解。经家属在手术同意书上签名，广东省人民医院为何伟成行造影栓塞术。</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日及</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23</w:t>
      </w:r>
      <w:r>
        <w:rPr>
          <w:rFonts w:hint="eastAsia"/>
          <w:sz w:val="30"/>
          <w:szCs w:val="30"/>
        </w:rPr>
        <w:t>日庭审中，何伟成均到庭参与并可独站，可见何伟成</w:t>
      </w:r>
      <w:r>
        <w:rPr>
          <w:rFonts w:hint="eastAsia"/>
          <w:sz w:val="30"/>
          <w:szCs w:val="30"/>
        </w:rPr>
        <w:t>的肢体活动能力较起诉时有所恢复。广东省人民医院有效治疗其病情，避免其动脉瘤自行破裂导致不可逆转的瘫痪后果。一审、二审判决认定广东省人民医院承担</w:t>
      </w:r>
      <w:r>
        <w:rPr>
          <w:rFonts w:hint="eastAsia"/>
          <w:sz w:val="30"/>
          <w:szCs w:val="30"/>
        </w:rPr>
        <w:t>70%</w:t>
      </w:r>
      <w:r>
        <w:rPr>
          <w:rFonts w:hint="eastAsia"/>
          <w:sz w:val="30"/>
          <w:szCs w:val="30"/>
        </w:rPr>
        <w:t>的责任过重。（二）广东南天司法鉴定所曾受一审法院的委托出具鉴定意见，认定广东省人民医院应承担的责任比例为</w:t>
      </w:r>
      <w:r>
        <w:rPr>
          <w:rFonts w:hint="eastAsia"/>
          <w:sz w:val="30"/>
          <w:szCs w:val="30"/>
        </w:rPr>
        <w:t>1-20%</w:t>
      </w:r>
      <w:r>
        <w:rPr>
          <w:rFonts w:hint="eastAsia"/>
          <w:sz w:val="30"/>
          <w:szCs w:val="30"/>
        </w:rPr>
        <w:t>。何伟成就鉴定程序问题向深圳市司法局投诉，后又不服深圳市司法局的复函而提起行政诉讼，但其诉讼请求均被行政判决驳回。广东南天司法鉴定所不堪被反复投诉，最终撤回该鉴定意见。但《司法鉴定程序通则》并没有赋予鉴定机构撤回鉴定意见的权利，在没有其他鉴定意见与广</w:t>
      </w:r>
      <w:r>
        <w:rPr>
          <w:rFonts w:hint="eastAsia"/>
          <w:sz w:val="30"/>
          <w:szCs w:val="30"/>
        </w:rPr>
        <w:t>东南天司法鉴定所鉴定意见相左的情况下，一审判决本应采信该鉴定意见，而不应另行判令广东省人民医院承担</w:t>
      </w:r>
      <w:r>
        <w:rPr>
          <w:rFonts w:hint="eastAsia"/>
          <w:sz w:val="30"/>
          <w:szCs w:val="30"/>
        </w:rPr>
        <w:t>70%</w:t>
      </w:r>
      <w:r>
        <w:rPr>
          <w:rFonts w:hint="eastAsia"/>
          <w:sz w:val="30"/>
          <w:szCs w:val="30"/>
        </w:rPr>
        <w:t>的责任。（二）本案鉴定前，一审法院曾组织双方对鉴定材料进行</w:t>
      </w:r>
      <w:r>
        <w:rPr>
          <w:rFonts w:hint="eastAsia"/>
          <w:sz w:val="30"/>
          <w:szCs w:val="30"/>
        </w:rPr>
        <w:t>5</w:t>
      </w:r>
      <w:r>
        <w:rPr>
          <w:rFonts w:hint="eastAsia"/>
          <w:sz w:val="30"/>
          <w:szCs w:val="30"/>
        </w:rPr>
        <w:t>次质证。</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日，一审法院询问何伟成，除认为病历篡改之外，对于广东省人民医院其他病历资料有无意见。何伟成回答无法确认，请法庭进行认定。一审法院告知双方，双方对鉴定材料存在争议，将无法委托鉴定。</w:t>
      </w:r>
      <w:r>
        <w:rPr>
          <w:rFonts w:hint="eastAsia"/>
          <w:sz w:val="30"/>
          <w:szCs w:val="30"/>
        </w:rPr>
        <w:t>2013</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日，何伟成当庭提供</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日手术动态影像资料，并称由于光盘在法庭打不开，申请由合议庭确定该资料是否为何伟成的手术光盘，</w:t>
      </w:r>
      <w:r>
        <w:rPr>
          <w:rFonts w:hint="eastAsia"/>
          <w:sz w:val="30"/>
          <w:szCs w:val="30"/>
        </w:rPr>
        <w:t>如系</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何伟成的手术资料，其就确认。由此可见，一审法院在确认病历及手术动态光盘真实性后委托鉴定，合法合理。（三）何伟成在广东南天司法鉴定所听证会中对手术动态影像及病历的真实性，均未提出异议。之后由于鉴定意见对其不利，才对诉讼程序和病历真实性提出质疑。（四）何伟成经核对病历原件，没有提出复印件与原件存在差异。且本案起诉前，何伟成的妻子已前来广东省人民医院处封存病历，应视为其认可封存件的真实性。但在</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日庭审中，何伟成却无理否认该封存件的真实性，拒不拆封核对，阻碍案件审理。广东省人</w:t>
      </w:r>
      <w:r>
        <w:rPr>
          <w:rFonts w:hint="eastAsia"/>
          <w:sz w:val="30"/>
          <w:szCs w:val="30"/>
        </w:rPr>
        <w:t>民医院的记录瑕疵、双方对病历的争议均在主观病历记录部分。即使剔除双方争议的主观病历，客观病历及手术动态影像完全具备鉴定条件。何伟成否定全部病历材料，导致再次鉴定不能。何伟成以处理医疗损害鉴定事宜为由拒绝配合进行伤残、护理程度鉴定，因自身原因导致上述鉴定无法完成，应自行承担举证不能的法律后果。何伟成对手术动态影像真实性的态度反复，</w:t>
      </w:r>
      <w:r>
        <w:rPr>
          <w:rFonts w:hint="eastAsia"/>
          <w:sz w:val="30"/>
          <w:szCs w:val="30"/>
        </w:rPr>
        <w:t>2017</w:t>
      </w:r>
      <w:r>
        <w:rPr>
          <w:rFonts w:hint="eastAsia"/>
          <w:sz w:val="30"/>
          <w:szCs w:val="30"/>
        </w:rPr>
        <w:t>年</w:t>
      </w:r>
      <w:r>
        <w:rPr>
          <w:rFonts w:hint="eastAsia"/>
          <w:sz w:val="30"/>
          <w:szCs w:val="30"/>
        </w:rPr>
        <w:t>10</w:t>
      </w:r>
      <w:r>
        <w:rPr>
          <w:rFonts w:hint="eastAsia"/>
          <w:sz w:val="30"/>
          <w:szCs w:val="30"/>
        </w:rPr>
        <w:t>月</w:t>
      </w:r>
      <w:r>
        <w:rPr>
          <w:rFonts w:hint="eastAsia"/>
          <w:sz w:val="30"/>
          <w:szCs w:val="30"/>
        </w:rPr>
        <w:t>20</w:t>
      </w:r>
      <w:r>
        <w:rPr>
          <w:rFonts w:hint="eastAsia"/>
          <w:sz w:val="30"/>
          <w:szCs w:val="30"/>
        </w:rPr>
        <w:t>日认为是伪造的，</w:t>
      </w:r>
      <w:r>
        <w:rPr>
          <w:rFonts w:hint="eastAsia"/>
          <w:sz w:val="30"/>
          <w:szCs w:val="30"/>
        </w:rPr>
        <w:t>2018</w:t>
      </w:r>
      <w:r>
        <w:rPr>
          <w:rFonts w:hint="eastAsia"/>
          <w:sz w:val="30"/>
          <w:szCs w:val="30"/>
        </w:rPr>
        <w:t>年</w:t>
      </w:r>
      <w:r>
        <w:rPr>
          <w:rFonts w:hint="eastAsia"/>
          <w:sz w:val="30"/>
          <w:szCs w:val="30"/>
        </w:rPr>
        <w:t>7</w:t>
      </w:r>
      <w:r>
        <w:rPr>
          <w:rFonts w:hint="eastAsia"/>
          <w:sz w:val="30"/>
          <w:szCs w:val="30"/>
        </w:rPr>
        <w:t>月</w:t>
      </w:r>
      <w:r>
        <w:rPr>
          <w:rFonts w:hint="eastAsia"/>
          <w:sz w:val="30"/>
          <w:szCs w:val="30"/>
        </w:rPr>
        <w:t>27</w:t>
      </w:r>
      <w:r>
        <w:rPr>
          <w:rFonts w:hint="eastAsia"/>
          <w:sz w:val="30"/>
          <w:szCs w:val="30"/>
        </w:rPr>
        <w:t>日却认可影像记录的手术时间。（五）何伟成二审提供的暨南大学鉴定中心出具的《司法鉴定意见书》，所使用的鉴定依据均为广东省人民医院提</w:t>
      </w:r>
      <w:r>
        <w:rPr>
          <w:rFonts w:hint="eastAsia"/>
          <w:sz w:val="30"/>
          <w:szCs w:val="30"/>
        </w:rPr>
        <w:t>供的住院病历。如该《司法鉴定意见书》可被采信为定案证据，则广东南天司法鉴定所出具的鉴定意见也应予采信。</w:t>
      </w:r>
    </w:p>
    <w:p w:rsidR="00000000" w:rsidRDefault="00866346">
      <w:pPr>
        <w:spacing w:line="500" w:lineRule="atLeast"/>
        <w:ind w:firstLine="600"/>
        <w:divId w:val="1147479712"/>
        <w:rPr>
          <w:rFonts w:hint="eastAsia"/>
          <w:sz w:val="30"/>
          <w:szCs w:val="30"/>
        </w:rPr>
      </w:pPr>
      <w:r>
        <w:rPr>
          <w:rFonts w:hint="eastAsia"/>
          <w:sz w:val="30"/>
          <w:szCs w:val="30"/>
        </w:rPr>
        <w:t>本院经审查认为，本案系民事再审审查案件。根据《最高人民法院关于适用〈中华人民共和国民事诉讼法〉的解释》第三百八十六条的规定，本案应对何伟成主张的再审事由进行审查。具体分析如下：</w:t>
      </w:r>
    </w:p>
    <w:p w:rsidR="00000000" w:rsidRDefault="00866346">
      <w:pPr>
        <w:spacing w:line="500" w:lineRule="atLeast"/>
        <w:ind w:firstLine="600"/>
        <w:divId w:val="1711688712"/>
        <w:rPr>
          <w:rFonts w:hint="eastAsia"/>
          <w:sz w:val="30"/>
          <w:szCs w:val="30"/>
        </w:rPr>
      </w:pPr>
      <w:r>
        <w:rPr>
          <w:rFonts w:hint="eastAsia"/>
          <w:sz w:val="30"/>
          <w:szCs w:val="30"/>
        </w:rPr>
        <w:t>（一）关于一审、二审判决酌定的责任比例有无不当的问题</w:t>
      </w:r>
    </w:p>
    <w:p w:rsidR="00000000" w:rsidRDefault="00866346">
      <w:pPr>
        <w:spacing w:line="500" w:lineRule="atLeast"/>
        <w:ind w:firstLine="600"/>
        <w:divId w:val="2020112295"/>
        <w:rPr>
          <w:rFonts w:hint="eastAsia"/>
          <w:sz w:val="30"/>
          <w:szCs w:val="30"/>
        </w:rPr>
      </w:pPr>
      <w:r>
        <w:rPr>
          <w:rFonts w:hint="eastAsia"/>
          <w:sz w:val="30"/>
          <w:szCs w:val="30"/>
        </w:rPr>
        <w:t>1.</w:t>
      </w:r>
      <w:r>
        <w:rPr>
          <w:rFonts w:hint="eastAsia"/>
          <w:sz w:val="30"/>
          <w:szCs w:val="30"/>
        </w:rPr>
        <w:t>关于过错诊疗行为的认定。何伟成在再审申请中提出，广东省人民医院存在伪造病历、病历书写不规范、迟延封存病历、迟延创建电子病历、没有上报医疗质量安全事件等行为。经查，一审、二审</w:t>
      </w:r>
      <w:r>
        <w:rPr>
          <w:rFonts w:hint="eastAsia"/>
          <w:sz w:val="30"/>
          <w:szCs w:val="30"/>
        </w:rPr>
        <w:t>判决对广东省人民医院在涉案诊疗活动中存在以下过错行为已作出认定：一是术前未告知医疗风险及替代医疗方案；未进行术前讨论，手术准备欠充分；二是术中选择性插管未避开脊髓正常穿支；三是术后未告知何伟成脊髓损伤的后果；四是隐匿</w:t>
      </w:r>
      <w:r>
        <w:rPr>
          <w:rFonts w:hint="eastAsia"/>
          <w:sz w:val="30"/>
          <w:szCs w:val="30"/>
        </w:rPr>
        <w:t>DSA</w:t>
      </w:r>
      <w:r>
        <w:rPr>
          <w:rFonts w:hint="eastAsia"/>
          <w:sz w:val="30"/>
          <w:szCs w:val="30"/>
        </w:rPr>
        <w:t>等病历材料、未按规定填写《手术安全核查表》、病历书写不规范，导致本案无法通过鉴定结论认定广东省人民医院有无过错及与何伟成的损害后果之间有无因果关系；五是使用非卫生技术人员从事医疗卫生技术工作。由上可见，除了医疗质量安全事件的报告，一审、二审判决对何伟成在再审申请中所指的广东省人民医院过错行</w:t>
      </w:r>
      <w:r>
        <w:rPr>
          <w:rFonts w:hint="eastAsia"/>
          <w:sz w:val="30"/>
          <w:szCs w:val="30"/>
        </w:rPr>
        <w:t>为均已作出认定。至于医疗质量安全事件的报告，根据《医疗质量安全事件报告暂行规定》（卫医管〔</w:t>
      </w:r>
      <w:r>
        <w:rPr>
          <w:rFonts w:hint="eastAsia"/>
          <w:sz w:val="30"/>
          <w:szCs w:val="30"/>
        </w:rPr>
        <w:t>2011</w:t>
      </w:r>
      <w:r>
        <w:rPr>
          <w:rFonts w:hint="eastAsia"/>
          <w:sz w:val="30"/>
          <w:szCs w:val="30"/>
        </w:rPr>
        <w:t>〕</w:t>
      </w:r>
      <w:r>
        <w:rPr>
          <w:rFonts w:hint="eastAsia"/>
          <w:sz w:val="30"/>
          <w:szCs w:val="30"/>
        </w:rPr>
        <w:t>4</w:t>
      </w:r>
      <w:r>
        <w:rPr>
          <w:rFonts w:hint="eastAsia"/>
          <w:sz w:val="30"/>
          <w:szCs w:val="30"/>
        </w:rPr>
        <w:t>号）的规定，是指医疗机构向核发其《医疗机构执业许可证》的卫生行政部门报告医疗质量安全事件的行为，并不属于诊疗行为的范畴，故一审、二审判决未将该行为作为过错诊疗行为加以认定，并无不当。</w:t>
      </w:r>
    </w:p>
    <w:p w:rsidR="00000000" w:rsidRDefault="00866346">
      <w:pPr>
        <w:spacing w:line="500" w:lineRule="atLeast"/>
        <w:ind w:firstLine="600"/>
        <w:divId w:val="1909262149"/>
        <w:rPr>
          <w:rFonts w:hint="eastAsia"/>
          <w:sz w:val="30"/>
          <w:szCs w:val="30"/>
        </w:rPr>
      </w:pPr>
      <w:r>
        <w:rPr>
          <w:rFonts w:hint="eastAsia"/>
          <w:sz w:val="30"/>
          <w:szCs w:val="30"/>
        </w:rPr>
        <w:t>2.</w:t>
      </w:r>
      <w:r>
        <w:rPr>
          <w:rFonts w:hint="eastAsia"/>
          <w:sz w:val="30"/>
          <w:szCs w:val="30"/>
        </w:rPr>
        <w:t>关于因果关系的认定。医疗损害责任作为一种过错责任，医疗机构仅在其过错所致损害的范围内承担相应责任。故对医疗机构责任大小的确定，应综合分析各原因与损害后果之间的因果关系，最终确定医疗机构过错诊疗行为对损害所起的作用力。综合分</w:t>
      </w:r>
      <w:r>
        <w:rPr>
          <w:rFonts w:hint="eastAsia"/>
          <w:sz w:val="30"/>
          <w:szCs w:val="30"/>
        </w:rPr>
        <w:t>析本案何伟成的病史与接受治疗的过程，仅有何伟成自身原发“脊髓占位××变（椎管内）（颈髓血管畸形）”疾病或仅有广东省人民医院的过错诊疗行为，均不足以单独导致现有损害，何伟成现有损害系过错诊疗行为、疾病自然转归以及诊疗行为的固有风险等多方面原因共同参与的后果。一审、二审判决综合考虑广东省人民医院的过错参与度和患者原发疾病的诊疗风险等各种因素，判断广东省人民医院负主要过错，承担</w:t>
      </w:r>
      <w:r>
        <w:rPr>
          <w:rFonts w:hint="eastAsia"/>
          <w:sz w:val="30"/>
          <w:szCs w:val="30"/>
        </w:rPr>
        <w:t>70%</w:t>
      </w:r>
      <w:r>
        <w:rPr>
          <w:rFonts w:hint="eastAsia"/>
          <w:sz w:val="30"/>
          <w:szCs w:val="30"/>
        </w:rPr>
        <w:t>的责任，并无不当。</w:t>
      </w:r>
    </w:p>
    <w:p w:rsidR="00000000" w:rsidRDefault="00866346">
      <w:pPr>
        <w:spacing w:line="500" w:lineRule="atLeast"/>
        <w:ind w:firstLine="600"/>
        <w:divId w:val="1888760703"/>
        <w:rPr>
          <w:rFonts w:hint="eastAsia"/>
          <w:sz w:val="30"/>
          <w:szCs w:val="30"/>
        </w:rPr>
      </w:pPr>
      <w:r>
        <w:rPr>
          <w:rFonts w:hint="eastAsia"/>
          <w:sz w:val="30"/>
          <w:szCs w:val="30"/>
        </w:rPr>
        <w:t>（二）关于二审判决未采信暨南大学司法鉴定中心出具的鉴定意见，有无不当的问题。暨南大学司法鉴定中心出具的鉴定意见系</w:t>
      </w:r>
      <w:r>
        <w:rPr>
          <w:rFonts w:hint="eastAsia"/>
          <w:sz w:val="30"/>
          <w:szCs w:val="30"/>
        </w:rPr>
        <w:t>由何伟成自行委托作出，广东省人民医院在二审中以该鉴定意见所依据的是何伟成“反复投诉不真实”的病历材料为由，不予认可该鉴定意见。经查，本案在一审中之所以无法进行医疗损害鉴定，系因何伟成坚持认为广东省人民医院“伪造、篡改”病历，病历“严重失实”。在本案诉讼中，何伟成一方面不认可广东省人民医院提供病历的真实完整性，另一方面又主张采信以该病历作为鉴定依据所出具的鉴定意见，显然自相矛盾。广东省人民法院不认可该鉴定意见的理由成立，二审判决未采信该鉴定意见作为定案依据，并无不当。</w:t>
      </w:r>
    </w:p>
    <w:p w:rsidR="00000000" w:rsidRDefault="00866346">
      <w:pPr>
        <w:spacing w:line="500" w:lineRule="atLeast"/>
        <w:ind w:firstLine="600"/>
        <w:divId w:val="333144246"/>
        <w:rPr>
          <w:rFonts w:hint="eastAsia"/>
          <w:sz w:val="30"/>
          <w:szCs w:val="30"/>
        </w:rPr>
      </w:pPr>
      <w:r>
        <w:rPr>
          <w:rFonts w:hint="eastAsia"/>
          <w:sz w:val="30"/>
          <w:szCs w:val="30"/>
        </w:rPr>
        <w:t>（三）关于一审、二审判决核定的赔偿费用有</w:t>
      </w:r>
      <w:r>
        <w:rPr>
          <w:rFonts w:hint="eastAsia"/>
          <w:sz w:val="30"/>
          <w:szCs w:val="30"/>
        </w:rPr>
        <w:t>无不当的问题</w:t>
      </w:r>
    </w:p>
    <w:p w:rsidR="00000000" w:rsidRDefault="00866346">
      <w:pPr>
        <w:spacing w:line="500" w:lineRule="atLeast"/>
        <w:ind w:firstLine="600"/>
        <w:divId w:val="1118179214"/>
        <w:rPr>
          <w:rFonts w:hint="eastAsia"/>
          <w:sz w:val="30"/>
          <w:szCs w:val="30"/>
        </w:rPr>
      </w:pPr>
      <w:r>
        <w:rPr>
          <w:rFonts w:hint="eastAsia"/>
          <w:sz w:val="30"/>
          <w:szCs w:val="30"/>
        </w:rPr>
        <w:t>1.</w:t>
      </w:r>
      <w:r>
        <w:rPr>
          <w:rFonts w:hint="eastAsia"/>
          <w:sz w:val="30"/>
          <w:szCs w:val="30"/>
        </w:rPr>
        <w:t>关于误工费。本案由于何伟成不认可广东省人民医院提供病历的真实完整性，中山大学法医鉴定中心以“病历材料的真实性、完整性难以认定”为由，不予受理一审法院委托的伤残程度等级鉴定项目。在本案缺乏伤残等级鉴定意见的情况下，一审判决结合何伟成住院、门诊及临床治疗情况，酌定误工天数为</w:t>
      </w:r>
      <w:r>
        <w:rPr>
          <w:rFonts w:hint="eastAsia"/>
          <w:sz w:val="30"/>
          <w:szCs w:val="30"/>
        </w:rPr>
        <w:t>900</w:t>
      </w:r>
      <w:r>
        <w:rPr>
          <w:rFonts w:hint="eastAsia"/>
          <w:sz w:val="30"/>
          <w:szCs w:val="30"/>
        </w:rPr>
        <w:t>天并据此进行误工费的计算，并无不当。</w:t>
      </w:r>
    </w:p>
    <w:p w:rsidR="00000000" w:rsidRDefault="00866346">
      <w:pPr>
        <w:spacing w:line="500" w:lineRule="atLeast"/>
        <w:ind w:firstLine="600"/>
        <w:divId w:val="1135488346"/>
        <w:rPr>
          <w:rFonts w:hint="eastAsia"/>
          <w:sz w:val="30"/>
          <w:szCs w:val="30"/>
        </w:rPr>
      </w:pPr>
      <w:r>
        <w:rPr>
          <w:rFonts w:hint="eastAsia"/>
          <w:sz w:val="30"/>
          <w:szCs w:val="30"/>
        </w:rPr>
        <w:t>2.</w:t>
      </w:r>
      <w:r>
        <w:rPr>
          <w:rFonts w:hint="eastAsia"/>
          <w:sz w:val="30"/>
          <w:szCs w:val="30"/>
        </w:rPr>
        <w:t>关于</w:t>
      </w:r>
      <w:r>
        <w:rPr>
          <w:rFonts w:hint="eastAsia"/>
          <w:sz w:val="30"/>
          <w:szCs w:val="30"/>
        </w:rPr>
        <w:t>2012</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9</w:t>
      </w:r>
      <w:r>
        <w:rPr>
          <w:rFonts w:hint="eastAsia"/>
          <w:sz w:val="30"/>
          <w:szCs w:val="30"/>
        </w:rPr>
        <w:t>日的护理费。何伟成对该项主张没有提供医嘱、护理等级鉴定意见书等证据，依法本应承担举证不能的法律后果。但考虑到何伟成健康损害的现实情况，一</w:t>
      </w:r>
      <w:r>
        <w:rPr>
          <w:rFonts w:hint="eastAsia"/>
          <w:sz w:val="30"/>
          <w:szCs w:val="30"/>
        </w:rPr>
        <w:t>审、二审判决告知其在取得相关证据后可以另行主张，并无不当。</w:t>
      </w:r>
    </w:p>
    <w:p w:rsidR="00000000" w:rsidRDefault="00866346">
      <w:pPr>
        <w:spacing w:line="500" w:lineRule="atLeast"/>
        <w:ind w:firstLine="600"/>
        <w:divId w:val="2026469350"/>
        <w:rPr>
          <w:rFonts w:hint="eastAsia"/>
          <w:sz w:val="30"/>
          <w:szCs w:val="30"/>
        </w:rPr>
      </w:pPr>
      <w:r>
        <w:rPr>
          <w:rFonts w:hint="eastAsia"/>
          <w:sz w:val="30"/>
          <w:szCs w:val="30"/>
        </w:rPr>
        <w:t>3.</w:t>
      </w:r>
      <w:r>
        <w:rPr>
          <w:rFonts w:hint="eastAsia"/>
          <w:sz w:val="30"/>
          <w:szCs w:val="30"/>
        </w:rPr>
        <w:t>关于残疾赔偿金、鉴定费、检测费。上述请求均系何伟成在二审中新增的诉讼请求，二审判决依照《最高人民法院关于适用〈中华人民共和国民事诉讼法〉的解释》第三百二十八条的规定，告知其可以另行起诉主张，并无不当。</w:t>
      </w:r>
    </w:p>
    <w:p w:rsidR="00000000" w:rsidRDefault="00866346">
      <w:pPr>
        <w:spacing w:line="500" w:lineRule="atLeast"/>
        <w:ind w:firstLine="600"/>
        <w:divId w:val="1663971194"/>
        <w:rPr>
          <w:rFonts w:hint="eastAsia"/>
          <w:sz w:val="30"/>
          <w:szCs w:val="30"/>
        </w:rPr>
      </w:pPr>
      <w:r>
        <w:rPr>
          <w:rFonts w:hint="eastAsia"/>
          <w:sz w:val="30"/>
          <w:szCs w:val="30"/>
        </w:rPr>
        <w:t>综上，何伟成的再审申请不属于《中华人民共和国民事诉讼法》第二百条规定的再审事由。依照《中华人民共和国民事诉讼法》第二百零四条第一款，《最高人民法院关于适</w:t>
      </w:r>
      <w:r>
        <w:rPr>
          <w:rFonts w:hint="eastAsia"/>
          <w:sz w:val="30"/>
          <w:szCs w:val="30"/>
        </w:rPr>
        <w:t>用</w:t>
      </w:r>
      <w:r>
        <w:rPr>
          <w:rFonts w:hint="eastAsia"/>
          <w:sz w:val="30"/>
          <w:szCs w:val="30"/>
        </w:rPr>
        <w:t>的解释》第三百九十五条第二款规定，裁定如下：</w:t>
      </w:r>
    </w:p>
    <w:p w:rsidR="00000000" w:rsidRDefault="00866346">
      <w:pPr>
        <w:spacing w:line="500" w:lineRule="atLeast"/>
        <w:ind w:firstLine="600"/>
        <w:divId w:val="1914731013"/>
        <w:rPr>
          <w:rFonts w:hint="eastAsia"/>
          <w:sz w:val="30"/>
          <w:szCs w:val="30"/>
        </w:rPr>
      </w:pPr>
      <w:r>
        <w:rPr>
          <w:rFonts w:hint="eastAsia"/>
          <w:sz w:val="30"/>
          <w:szCs w:val="30"/>
        </w:rPr>
        <w:t>驳回何伟成的再审申请。</w:t>
      </w:r>
    </w:p>
    <w:p w:rsidR="00000000" w:rsidRDefault="00866346">
      <w:pPr>
        <w:spacing w:line="500" w:lineRule="atLeast"/>
        <w:jc w:val="right"/>
        <w:divId w:val="1096756823"/>
        <w:rPr>
          <w:rFonts w:hint="eastAsia"/>
          <w:sz w:val="30"/>
          <w:szCs w:val="30"/>
        </w:rPr>
      </w:pPr>
      <w:r>
        <w:rPr>
          <w:rFonts w:hint="eastAsia"/>
          <w:sz w:val="30"/>
          <w:szCs w:val="30"/>
        </w:rPr>
        <w:t>审判长　赵　虹</w:t>
      </w:r>
    </w:p>
    <w:p w:rsidR="00000000" w:rsidRDefault="00866346">
      <w:pPr>
        <w:spacing w:line="500" w:lineRule="atLeast"/>
        <w:jc w:val="right"/>
        <w:divId w:val="1208373186"/>
        <w:rPr>
          <w:rFonts w:hint="eastAsia"/>
          <w:sz w:val="30"/>
          <w:szCs w:val="30"/>
        </w:rPr>
      </w:pPr>
      <w:r>
        <w:rPr>
          <w:rFonts w:hint="eastAsia"/>
          <w:sz w:val="30"/>
          <w:szCs w:val="30"/>
        </w:rPr>
        <w:t>审判员</w:t>
      </w:r>
      <w:r>
        <w:rPr>
          <w:rFonts w:hint="eastAsia"/>
          <w:sz w:val="30"/>
          <w:szCs w:val="30"/>
        </w:rPr>
        <w:t xml:space="preserve">　赖尚斌</w:t>
      </w:r>
    </w:p>
    <w:p w:rsidR="00000000" w:rsidRDefault="00866346">
      <w:pPr>
        <w:spacing w:line="500" w:lineRule="atLeast"/>
        <w:jc w:val="right"/>
        <w:divId w:val="1781680310"/>
        <w:rPr>
          <w:rFonts w:hint="eastAsia"/>
          <w:sz w:val="30"/>
          <w:szCs w:val="30"/>
        </w:rPr>
      </w:pPr>
      <w:r>
        <w:rPr>
          <w:rFonts w:hint="eastAsia"/>
          <w:sz w:val="30"/>
          <w:szCs w:val="30"/>
        </w:rPr>
        <w:t>审判员　王　凯</w:t>
      </w:r>
    </w:p>
    <w:p w:rsidR="00000000" w:rsidRDefault="00866346">
      <w:pPr>
        <w:spacing w:line="500" w:lineRule="atLeast"/>
        <w:jc w:val="right"/>
        <w:divId w:val="58942694"/>
        <w:rPr>
          <w:rFonts w:hint="eastAsia"/>
          <w:sz w:val="30"/>
          <w:szCs w:val="30"/>
        </w:rPr>
      </w:pPr>
      <w:r>
        <w:rPr>
          <w:rFonts w:hint="eastAsia"/>
          <w:sz w:val="30"/>
          <w:szCs w:val="30"/>
        </w:rPr>
        <w:t>二〇二〇年五月十九日</w:t>
      </w:r>
    </w:p>
    <w:p w:rsidR="00000000" w:rsidRDefault="00866346">
      <w:pPr>
        <w:spacing w:line="500" w:lineRule="atLeast"/>
        <w:ind w:firstLine="600"/>
        <w:divId w:val="1690910187"/>
        <w:rPr>
          <w:rFonts w:hint="eastAsia"/>
          <w:sz w:val="30"/>
          <w:szCs w:val="30"/>
        </w:rPr>
      </w:pPr>
      <w:r>
        <w:rPr>
          <w:rFonts w:hint="eastAsia"/>
          <w:sz w:val="30"/>
          <w:szCs w:val="30"/>
        </w:rPr>
        <w:t>法官助理陈捷</w:t>
      </w:r>
    </w:p>
    <w:p w:rsidR="00000000" w:rsidRDefault="00866346">
      <w:pPr>
        <w:spacing w:line="500" w:lineRule="atLeast"/>
        <w:ind w:firstLine="600"/>
        <w:divId w:val="179903232"/>
        <w:rPr>
          <w:rFonts w:hint="eastAsia"/>
          <w:sz w:val="30"/>
          <w:szCs w:val="30"/>
        </w:rPr>
      </w:pPr>
      <w:r>
        <w:rPr>
          <w:rFonts w:hint="eastAsia"/>
          <w:sz w:val="30"/>
          <w:szCs w:val="30"/>
        </w:rPr>
        <w:t>书记员陈欣</w:t>
      </w:r>
    </w:p>
    <w:sectPr w:rsidR="00000000">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66346"/>
    <w:rsid w:val="00866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2694">
      <w:marLeft w:val="0"/>
      <w:marRight w:val="720"/>
      <w:marTop w:val="10"/>
      <w:marBottom w:val="10"/>
      <w:divBdr>
        <w:top w:val="none" w:sz="0" w:space="0" w:color="auto"/>
        <w:left w:val="none" w:sz="0" w:space="0" w:color="auto"/>
        <w:bottom w:val="none" w:sz="0" w:space="0" w:color="auto"/>
        <w:right w:val="none" w:sz="0" w:space="0" w:color="auto"/>
      </w:divBdr>
    </w:div>
    <w:div w:id="179903232">
      <w:marLeft w:val="0"/>
      <w:marRight w:val="0"/>
      <w:marTop w:val="10"/>
      <w:marBottom w:val="10"/>
      <w:divBdr>
        <w:top w:val="none" w:sz="0" w:space="0" w:color="auto"/>
        <w:left w:val="none" w:sz="0" w:space="0" w:color="auto"/>
        <w:bottom w:val="none" w:sz="0" w:space="0" w:color="auto"/>
        <w:right w:val="none" w:sz="0" w:space="0" w:color="auto"/>
      </w:divBdr>
    </w:div>
    <w:div w:id="222831453">
      <w:marLeft w:val="0"/>
      <w:marRight w:val="0"/>
      <w:marTop w:val="10"/>
      <w:marBottom w:val="10"/>
      <w:divBdr>
        <w:top w:val="none" w:sz="0" w:space="0" w:color="auto"/>
        <w:left w:val="none" w:sz="0" w:space="0" w:color="auto"/>
        <w:bottom w:val="none" w:sz="0" w:space="0" w:color="auto"/>
        <w:right w:val="none" w:sz="0" w:space="0" w:color="auto"/>
      </w:divBdr>
    </w:div>
    <w:div w:id="329018764">
      <w:marLeft w:val="0"/>
      <w:marRight w:val="0"/>
      <w:marTop w:val="10"/>
      <w:marBottom w:val="10"/>
      <w:divBdr>
        <w:top w:val="none" w:sz="0" w:space="0" w:color="auto"/>
        <w:left w:val="none" w:sz="0" w:space="0" w:color="auto"/>
        <w:bottom w:val="none" w:sz="0" w:space="0" w:color="auto"/>
        <w:right w:val="none" w:sz="0" w:space="0" w:color="auto"/>
      </w:divBdr>
    </w:div>
    <w:div w:id="333144246">
      <w:marLeft w:val="0"/>
      <w:marRight w:val="0"/>
      <w:marTop w:val="10"/>
      <w:marBottom w:val="10"/>
      <w:divBdr>
        <w:top w:val="none" w:sz="0" w:space="0" w:color="auto"/>
        <w:left w:val="none" w:sz="0" w:space="0" w:color="auto"/>
        <w:bottom w:val="none" w:sz="0" w:space="0" w:color="auto"/>
        <w:right w:val="none" w:sz="0" w:space="0" w:color="auto"/>
      </w:divBdr>
    </w:div>
    <w:div w:id="520823178">
      <w:marLeft w:val="0"/>
      <w:marRight w:val="0"/>
      <w:marTop w:val="10"/>
      <w:marBottom w:val="10"/>
      <w:divBdr>
        <w:top w:val="none" w:sz="0" w:space="0" w:color="auto"/>
        <w:left w:val="none" w:sz="0" w:space="0" w:color="auto"/>
        <w:bottom w:val="none" w:sz="0" w:space="0" w:color="auto"/>
        <w:right w:val="none" w:sz="0" w:space="0" w:color="auto"/>
      </w:divBdr>
    </w:div>
    <w:div w:id="643005424">
      <w:marLeft w:val="0"/>
      <w:marRight w:val="0"/>
      <w:marTop w:val="10"/>
      <w:marBottom w:val="10"/>
      <w:divBdr>
        <w:top w:val="none" w:sz="0" w:space="0" w:color="auto"/>
        <w:left w:val="none" w:sz="0" w:space="0" w:color="auto"/>
        <w:bottom w:val="none" w:sz="0" w:space="0" w:color="auto"/>
        <w:right w:val="none" w:sz="0" w:space="0" w:color="auto"/>
      </w:divBdr>
    </w:div>
    <w:div w:id="879561329">
      <w:marLeft w:val="0"/>
      <w:marRight w:val="0"/>
      <w:marTop w:val="10"/>
      <w:marBottom w:val="10"/>
      <w:divBdr>
        <w:top w:val="none" w:sz="0" w:space="0" w:color="auto"/>
        <w:left w:val="none" w:sz="0" w:space="0" w:color="auto"/>
        <w:bottom w:val="none" w:sz="0" w:space="0" w:color="auto"/>
        <w:right w:val="none" w:sz="0" w:space="0" w:color="auto"/>
      </w:divBdr>
    </w:div>
    <w:div w:id="1096756823">
      <w:marLeft w:val="0"/>
      <w:marRight w:val="720"/>
      <w:marTop w:val="10"/>
      <w:marBottom w:val="10"/>
      <w:divBdr>
        <w:top w:val="none" w:sz="0" w:space="0" w:color="auto"/>
        <w:left w:val="none" w:sz="0" w:space="0" w:color="auto"/>
        <w:bottom w:val="none" w:sz="0" w:space="0" w:color="auto"/>
        <w:right w:val="none" w:sz="0" w:space="0" w:color="auto"/>
      </w:divBdr>
    </w:div>
    <w:div w:id="1118179214">
      <w:marLeft w:val="0"/>
      <w:marRight w:val="0"/>
      <w:marTop w:val="10"/>
      <w:marBottom w:val="10"/>
      <w:divBdr>
        <w:top w:val="none" w:sz="0" w:space="0" w:color="auto"/>
        <w:left w:val="none" w:sz="0" w:space="0" w:color="auto"/>
        <w:bottom w:val="none" w:sz="0" w:space="0" w:color="auto"/>
        <w:right w:val="none" w:sz="0" w:space="0" w:color="auto"/>
      </w:divBdr>
    </w:div>
    <w:div w:id="1135488346">
      <w:marLeft w:val="0"/>
      <w:marRight w:val="0"/>
      <w:marTop w:val="10"/>
      <w:marBottom w:val="10"/>
      <w:divBdr>
        <w:top w:val="none" w:sz="0" w:space="0" w:color="auto"/>
        <w:left w:val="none" w:sz="0" w:space="0" w:color="auto"/>
        <w:bottom w:val="none" w:sz="0" w:space="0" w:color="auto"/>
        <w:right w:val="none" w:sz="0" w:space="0" w:color="auto"/>
      </w:divBdr>
    </w:div>
    <w:div w:id="1147479712">
      <w:marLeft w:val="0"/>
      <w:marRight w:val="0"/>
      <w:marTop w:val="10"/>
      <w:marBottom w:val="10"/>
      <w:divBdr>
        <w:top w:val="none" w:sz="0" w:space="0" w:color="auto"/>
        <w:left w:val="none" w:sz="0" w:space="0" w:color="auto"/>
        <w:bottom w:val="none" w:sz="0" w:space="0" w:color="auto"/>
        <w:right w:val="none" w:sz="0" w:space="0" w:color="auto"/>
      </w:divBdr>
    </w:div>
    <w:div w:id="1208373186">
      <w:marLeft w:val="0"/>
      <w:marRight w:val="720"/>
      <w:marTop w:val="10"/>
      <w:marBottom w:val="10"/>
      <w:divBdr>
        <w:top w:val="none" w:sz="0" w:space="0" w:color="auto"/>
        <w:left w:val="none" w:sz="0" w:space="0" w:color="auto"/>
        <w:bottom w:val="none" w:sz="0" w:space="0" w:color="auto"/>
        <w:right w:val="none" w:sz="0" w:space="0" w:color="auto"/>
      </w:divBdr>
    </w:div>
    <w:div w:id="1214393233">
      <w:marLeft w:val="0"/>
      <w:marRight w:val="0"/>
      <w:marTop w:val="10"/>
      <w:marBottom w:val="10"/>
      <w:divBdr>
        <w:top w:val="none" w:sz="0" w:space="0" w:color="auto"/>
        <w:left w:val="none" w:sz="0" w:space="0" w:color="auto"/>
        <w:bottom w:val="none" w:sz="0" w:space="0" w:color="auto"/>
        <w:right w:val="none" w:sz="0" w:space="0" w:color="auto"/>
      </w:divBdr>
    </w:div>
    <w:div w:id="1282569567">
      <w:marLeft w:val="0"/>
      <w:marRight w:val="0"/>
      <w:marTop w:val="10"/>
      <w:marBottom w:val="10"/>
      <w:divBdr>
        <w:top w:val="none" w:sz="0" w:space="0" w:color="auto"/>
        <w:left w:val="none" w:sz="0" w:space="0" w:color="auto"/>
        <w:bottom w:val="none" w:sz="0" w:space="0" w:color="auto"/>
        <w:right w:val="none" w:sz="0" w:space="0" w:color="auto"/>
      </w:divBdr>
    </w:div>
    <w:div w:id="1473912888">
      <w:marLeft w:val="0"/>
      <w:marRight w:val="0"/>
      <w:marTop w:val="10"/>
      <w:marBottom w:val="10"/>
      <w:divBdr>
        <w:top w:val="none" w:sz="0" w:space="0" w:color="auto"/>
        <w:left w:val="none" w:sz="0" w:space="0" w:color="auto"/>
        <w:bottom w:val="none" w:sz="0" w:space="0" w:color="auto"/>
        <w:right w:val="none" w:sz="0" w:space="0" w:color="auto"/>
      </w:divBdr>
    </w:div>
    <w:div w:id="1502771969">
      <w:marLeft w:val="0"/>
      <w:marRight w:val="0"/>
      <w:marTop w:val="10"/>
      <w:marBottom w:val="10"/>
      <w:divBdr>
        <w:top w:val="none" w:sz="0" w:space="0" w:color="auto"/>
        <w:left w:val="none" w:sz="0" w:space="0" w:color="auto"/>
        <w:bottom w:val="none" w:sz="0" w:space="0" w:color="auto"/>
        <w:right w:val="none" w:sz="0" w:space="0" w:color="auto"/>
      </w:divBdr>
    </w:div>
    <w:div w:id="1663971194">
      <w:marLeft w:val="0"/>
      <w:marRight w:val="0"/>
      <w:marTop w:val="10"/>
      <w:marBottom w:val="10"/>
      <w:divBdr>
        <w:top w:val="none" w:sz="0" w:space="0" w:color="auto"/>
        <w:left w:val="none" w:sz="0" w:space="0" w:color="auto"/>
        <w:bottom w:val="none" w:sz="0" w:space="0" w:color="auto"/>
        <w:right w:val="none" w:sz="0" w:space="0" w:color="auto"/>
      </w:divBdr>
    </w:div>
    <w:div w:id="1690910187">
      <w:marLeft w:val="0"/>
      <w:marRight w:val="0"/>
      <w:marTop w:val="10"/>
      <w:marBottom w:val="10"/>
      <w:divBdr>
        <w:top w:val="none" w:sz="0" w:space="0" w:color="auto"/>
        <w:left w:val="none" w:sz="0" w:space="0" w:color="auto"/>
        <w:bottom w:val="none" w:sz="0" w:space="0" w:color="auto"/>
        <w:right w:val="none" w:sz="0" w:space="0" w:color="auto"/>
      </w:divBdr>
    </w:div>
    <w:div w:id="1711688712">
      <w:marLeft w:val="0"/>
      <w:marRight w:val="0"/>
      <w:marTop w:val="10"/>
      <w:marBottom w:val="10"/>
      <w:divBdr>
        <w:top w:val="none" w:sz="0" w:space="0" w:color="auto"/>
        <w:left w:val="none" w:sz="0" w:space="0" w:color="auto"/>
        <w:bottom w:val="none" w:sz="0" w:space="0" w:color="auto"/>
        <w:right w:val="none" w:sz="0" w:space="0" w:color="auto"/>
      </w:divBdr>
    </w:div>
    <w:div w:id="1781680310">
      <w:marLeft w:val="0"/>
      <w:marRight w:val="720"/>
      <w:marTop w:val="10"/>
      <w:marBottom w:val="10"/>
      <w:divBdr>
        <w:top w:val="none" w:sz="0" w:space="0" w:color="auto"/>
        <w:left w:val="none" w:sz="0" w:space="0" w:color="auto"/>
        <w:bottom w:val="none" w:sz="0" w:space="0" w:color="auto"/>
        <w:right w:val="none" w:sz="0" w:space="0" w:color="auto"/>
      </w:divBdr>
    </w:div>
    <w:div w:id="1888760703">
      <w:marLeft w:val="0"/>
      <w:marRight w:val="0"/>
      <w:marTop w:val="10"/>
      <w:marBottom w:val="10"/>
      <w:divBdr>
        <w:top w:val="none" w:sz="0" w:space="0" w:color="auto"/>
        <w:left w:val="none" w:sz="0" w:space="0" w:color="auto"/>
        <w:bottom w:val="none" w:sz="0" w:space="0" w:color="auto"/>
        <w:right w:val="none" w:sz="0" w:space="0" w:color="auto"/>
      </w:divBdr>
    </w:div>
    <w:div w:id="1889223927">
      <w:marLeft w:val="0"/>
      <w:marRight w:val="0"/>
      <w:marTop w:val="10"/>
      <w:marBottom w:val="10"/>
      <w:divBdr>
        <w:top w:val="none" w:sz="0" w:space="0" w:color="auto"/>
        <w:left w:val="none" w:sz="0" w:space="0" w:color="auto"/>
        <w:bottom w:val="none" w:sz="0" w:space="0" w:color="auto"/>
        <w:right w:val="none" w:sz="0" w:space="0" w:color="auto"/>
      </w:divBdr>
    </w:div>
    <w:div w:id="1909262149">
      <w:marLeft w:val="0"/>
      <w:marRight w:val="0"/>
      <w:marTop w:val="10"/>
      <w:marBottom w:val="10"/>
      <w:divBdr>
        <w:top w:val="none" w:sz="0" w:space="0" w:color="auto"/>
        <w:left w:val="none" w:sz="0" w:space="0" w:color="auto"/>
        <w:bottom w:val="none" w:sz="0" w:space="0" w:color="auto"/>
        <w:right w:val="none" w:sz="0" w:space="0" w:color="auto"/>
      </w:divBdr>
    </w:div>
    <w:div w:id="1914731013">
      <w:marLeft w:val="0"/>
      <w:marRight w:val="0"/>
      <w:marTop w:val="10"/>
      <w:marBottom w:val="10"/>
      <w:divBdr>
        <w:top w:val="none" w:sz="0" w:space="0" w:color="auto"/>
        <w:left w:val="none" w:sz="0" w:space="0" w:color="auto"/>
        <w:bottom w:val="none" w:sz="0" w:space="0" w:color="auto"/>
        <w:right w:val="none" w:sz="0" w:space="0" w:color="auto"/>
      </w:divBdr>
    </w:div>
    <w:div w:id="2020112295">
      <w:marLeft w:val="0"/>
      <w:marRight w:val="0"/>
      <w:marTop w:val="10"/>
      <w:marBottom w:val="10"/>
      <w:divBdr>
        <w:top w:val="none" w:sz="0" w:space="0" w:color="auto"/>
        <w:left w:val="none" w:sz="0" w:space="0" w:color="auto"/>
        <w:bottom w:val="none" w:sz="0" w:space="0" w:color="auto"/>
        <w:right w:val="none" w:sz="0" w:space="0" w:color="auto"/>
      </w:divBdr>
    </w:div>
    <w:div w:id="2026469350">
      <w:marLeft w:val="0"/>
      <w:marRight w:val="0"/>
      <w:marTop w:val="10"/>
      <w:marBottom w:val="10"/>
      <w:divBdr>
        <w:top w:val="none" w:sz="0" w:space="0" w:color="auto"/>
        <w:left w:val="none" w:sz="0" w:space="0" w:color="auto"/>
        <w:bottom w:val="none" w:sz="0" w:space="0" w:color="auto"/>
        <w:right w:val="none" w:sz="0" w:space="0" w:color="auto"/>
      </w:divBdr>
    </w:div>
    <w:div w:id="209461710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838</Words>
  <Characters>4777</Characters>
  <Application>Microsoft Office Word</Application>
  <DocSecurity>0</DocSecurity>
  <Lines>39</Lines>
  <Paragraphs>11</Paragraphs>
  <ScaleCrop>false</ScaleCrop>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2023-04-10T06:55:00Z</dcterms:created>
  <dcterms:modified xsi:type="dcterms:W3CDTF">2023-04-10T06:55:00Z</dcterms:modified>
</cp:coreProperties>
</file>