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C70E2">
      <w:pPr>
        <w:spacing w:line="500" w:lineRule="atLeast"/>
        <w:jc w:val="center"/>
        <w:divId w:val="1595819941"/>
        <w:rPr>
          <w:rFonts w:ascii="黑体" w:eastAsia="黑体" w:hAnsi="黑体"/>
          <w:sz w:val="36"/>
          <w:szCs w:val="36"/>
        </w:rPr>
      </w:pPr>
      <w:bookmarkStart w:id="0" w:name="_GoBack"/>
      <w:bookmarkEnd w:id="0"/>
      <w:r>
        <w:rPr>
          <w:rFonts w:ascii="黑体" w:eastAsia="黑体" w:hAnsi="黑体" w:hint="eastAsia"/>
          <w:sz w:val="36"/>
          <w:szCs w:val="36"/>
        </w:rPr>
        <w:t>天津市高级人民法院</w:t>
      </w:r>
    </w:p>
    <w:p w:rsidR="00000000" w:rsidRDefault="001C70E2">
      <w:pPr>
        <w:spacing w:line="500" w:lineRule="atLeast"/>
        <w:jc w:val="center"/>
        <w:divId w:val="255217766"/>
        <w:rPr>
          <w:rFonts w:ascii="黑体" w:eastAsia="黑体" w:hAnsi="黑体" w:hint="eastAsia"/>
          <w:sz w:val="36"/>
          <w:szCs w:val="36"/>
        </w:rPr>
      </w:pPr>
      <w:r>
        <w:rPr>
          <w:rFonts w:ascii="黑体" w:eastAsia="黑体" w:hAnsi="黑体" w:hint="eastAsia"/>
          <w:sz w:val="36"/>
          <w:szCs w:val="36"/>
        </w:rPr>
        <w:t>行</w:t>
      </w:r>
      <w:r>
        <w:rPr>
          <w:rFonts w:ascii="黑体" w:eastAsia="黑体" w:hAnsi="黑体" w:hint="eastAsia"/>
          <w:sz w:val="36"/>
          <w:szCs w:val="36"/>
        </w:rPr>
        <w:t xml:space="preserve"> </w:t>
      </w:r>
      <w:r>
        <w:rPr>
          <w:rFonts w:ascii="黑体" w:eastAsia="黑体" w:hAnsi="黑体" w:hint="eastAsia"/>
          <w:sz w:val="36"/>
          <w:szCs w:val="36"/>
        </w:rPr>
        <w:t>政</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C70E2">
      <w:pPr>
        <w:spacing w:line="500" w:lineRule="atLeast"/>
        <w:jc w:val="right"/>
        <w:divId w:val="164828580"/>
        <w:rPr>
          <w:rFonts w:hint="eastAsia"/>
          <w:sz w:val="30"/>
          <w:szCs w:val="30"/>
        </w:rPr>
      </w:pPr>
      <w:r>
        <w:rPr>
          <w:rFonts w:hint="eastAsia"/>
          <w:sz w:val="30"/>
          <w:szCs w:val="30"/>
        </w:rPr>
        <w:t>（</w:t>
      </w:r>
      <w:r>
        <w:rPr>
          <w:rFonts w:hint="eastAsia"/>
          <w:sz w:val="30"/>
          <w:szCs w:val="30"/>
        </w:rPr>
        <w:t>2021</w:t>
      </w:r>
      <w:r>
        <w:rPr>
          <w:rFonts w:hint="eastAsia"/>
          <w:sz w:val="30"/>
          <w:szCs w:val="30"/>
        </w:rPr>
        <w:t>）津行申</w:t>
      </w:r>
      <w:r>
        <w:rPr>
          <w:rFonts w:hint="eastAsia"/>
          <w:sz w:val="30"/>
          <w:szCs w:val="30"/>
        </w:rPr>
        <w:t>188</w:t>
      </w:r>
      <w:r>
        <w:rPr>
          <w:rFonts w:hint="eastAsia"/>
          <w:sz w:val="30"/>
          <w:szCs w:val="30"/>
        </w:rPr>
        <w:t>号</w:t>
      </w:r>
    </w:p>
    <w:p w:rsidR="00000000" w:rsidRDefault="001C70E2">
      <w:pPr>
        <w:spacing w:line="500" w:lineRule="atLeast"/>
        <w:ind w:firstLine="600"/>
        <w:divId w:val="1205217645"/>
        <w:rPr>
          <w:rFonts w:hint="eastAsia"/>
          <w:sz w:val="30"/>
          <w:szCs w:val="30"/>
        </w:rPr>
      </w:pPr>
      <w:r>
        <w:rPr>
          <w:rFonts w:hint="eastAsia"/>
          <w:sz w:val="30"/>
          <w:szCs w:val="30"/>
        </w:rPr>
        <w:t>再审申请人（一审原告、二审上诉人）冯跃，男，</w:t>
      </w:r>
      <w:r>
        <w:rPr>
          <w:rFonts w:hint="eastAsia"/>
          <w:sz w:val="30"/>
          <w:szCs w:val="30"/>
        </w:rPr>
        <w:t>1971</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日出生，汉族，住天津市河东区。</w:t>
      </w:r>
    </w:p>
    <w:p w:rsidR="00000000" w:rsidRDefault="001C70E2">
      <w:pPr>
        <w:spacing w:line="500" w:lineRule="atLeast"/>
        <w:ind w:firstLine="600"/>
        <w:divId w:val="1591692227"/>
        <w:rPr>
          <w:rFonts w:hint="eastAsia"/>
          <w:sz w:val="30"/>
          <w:szCs w:val="30"/>
        </w:rPr>
      </w:pPr>
      <w:r>
        <w:rPr>
          <w:rFonts w:hint="eastAsia"/>
          <w:sz w:val="30"/>
          <w:szCs w:val="30"/>
        </w:rPr>
        <w:t>被申请人（一审被告、二审被上诉人）天津市教育委员会，住所地天津市南开区水上公园北道</w:t>
      </w:r>
      <w:r>
        <w:rPr>
          <w:rFonts w:hint="eastAsia"/>
          <w:sz w:val="30"/>
          <w:szCs w:val="30"/>
        </w:rPr>
        <w:t>50</w:t>
      </w:r>
      <w:r>
        <w:rPr>
          <w:rFonts w:hint="eastAsia"/>
          <w:sz w:val="30"/>
          <w:szCs w:val="30"/>
        </w:rPr>
        <w:t>号。</w:t>
      </w:r>
    </w:p>
    <w:p w:rsidR="00000000" w:rsidRDefault="001C70E2">
      <w:pPr>
        <w:spacing w:line="500" w:lineRule="atLeast"/>
        <w:ind w:firstLine="600"/>
        <w:divId w:val="549726731"/>
        <w:rPr>
          <w:rFonts w:hint="eastAsia"/>
          <w:sz w:val="30"/>
          <w:szCs w:val="30"/>
        </w:rPr>
      </w:pPr>
      <w:r>
        <w:rPr>
          <w:rFonts w:hint="eastAsia"/>
          <w:sz w:val="30"/>
          <w:szCs w:val="30"/>
        </w:rPr>
        <w:t>法定代表人荆洪阳，主任。</w:t>
      </w:r>
    </w:p>
    <w:p w:rsidR="00000000" w:rsidRDefault="001C70E2">
      <w:pPr>
        <w:spacing w:line="500" w:lineRule="atLeast"/>
        <w:ind w:firstLine="600"/>
        <w:divId w:val="158694100"/>
        <w:rPr>
          <w:rFonts w:hint="eastAsia"/>
          <w:sz w:val="30"/>
          <w:szCs w:val="30"/>
        </w:rPr>
      </w:pPr>
      <w:r>
        <w:rPr>
          <w:rFonts w:hint="eastAsia"/>
          <w:sz w:val="30"/>
          <w:szCs w:val="30"/>
        </w:rPr>
        <w:t>再审申请人冯跃因诉被申请人天津市教育委员会履行法定职责一案，不服天津市第一中级人民法院（</w:t>
      </w:r>
      <w:r>
        <w:rPr>
          <w:rFonts w:hint="eastAsia"/>
          <w:sz w:val="30"/>
          <w:szCs w:val="30"/>
        </w:rPr>
        <w:t>2020</w:t>
      </w:r>
      <w:r>
        <w:rPr>
          <w:rFonts w:hint="eastAsia"/>
          <w:sz w:val="30"/>
          <w:szCs w:val="30"/>
        </w:rPr>
        <w:t>）津</w:t>
      </w:r>
      <w:r>
        <w:rPr>
          <w:rFonts w:hint="eastAsia"/>
          <w:sz w:val="30"/>
          <w:szCs w:val="30"/>
        </w:rPr>
        <w:t>01</w:t>
      </w:r>
      <w:r>
        <w:rPr>
          <w:rFonts w:hint="eastAsia"/>
          <w:sz w:val="30"/>
          <w:szCs w:val="30"/>
        </w:rPr>
        <w:t>行终</w:t>
      </w:r>
      <w:r>
        <w:rPr>
          <w:rFonts w:hint="eastAsia"/>
          <w:sz w:val="30"/>
          <w:szCs w:val="30"/>
        </w:rPr>
        <w:t>404</w:t>
      </w:r>
      <w:r>
        <w:rPr>
          <w:rFonts w:hint="eastAsia"/>
          <w:sz w:val="30"/>
          <w:szCs w:val="30"/>
        </w:rPr>
        <w:t>号行政裁定，向本院申请再审。本院依法组成合议庭对本案进行了审查，现已审查终结。</w:t>
      </w:r>
    </w:p>
    <w:p w:rsidR="00000000" w:rsidRDefault="001C70E2">
      <w:pPr>
        <w:spacing w:line="500" w:lineRule="atLeast"/>
        <w:ind w:firstLine="600"/>
        <w:divId w:val="957368263"/>
        <w:rPr>
          <w:rFonts w:hint="eastAsia"/>
          <w:sz w:val="30"/>
          <w:szCs w:val="30"/>
        </w:rPr>
      </w:pPr>
      <w:r>
        <w:rPr>
          <w:rFonts w:hint="eastAsia"/>
          <w:sz w:val="30"/>
          <w:szCs w:val="30"/>
        </w:rPr>
        <w:t>冯跃申请再审称：根据《中华人民共和国行政诉讼法》第九十一条之规定，“当事人的申请符合下列情形之一的</w:t>
      </w:r>
      <w:r>
        <w:rPr>
          <w:rFonts w:hint="eastAsia"/>
          <w:sz w:val="30"/>
          <w:szCs w:val="30"/>
        </w:rPr>
        <w:t>,</w:t>
      </w:r>
      <w:r>
        <w:rPr>
          <w:rFonts w:hint="eastAsia"/>
          <w:sz w:val="30"/>
          <w:szCs w:val="30"/>
        </w:rPr>
        <w:t>人民法院应当再审</w:t>
      </w:r>
      <w:r>
        <w:rPr>
          <w:rFonts w:hint="eastAsia"/>
          <w:sz w:val="30"/>
          <w:szCs w:val="30"/>
        </w:rPr>
        <w:t>:(</w:t>
      </w:r>
      <w:r>
        <w:rPr>
          <w:rFonts w:hint="eastAsia"/>
          <w:sz w:val="30"/>
          <w:szCs w:val="30"/>
        </w:rPr>
        <w:t>一</w:t>
      </w:r>
      <w:r>
        <w:rPr>
          <w:rFonts w:hint="eastAsia"/>
          <w:sz w:val="30"/>
          <w:szCs w:val="30"/>
        </w:rPr>
        <w:t>)</w:t>
      </w:r>
      <w:r>
        <w:rPr>
          <w:rFonts w:hint="eastAsia"/>
          <w:sz w:val="30"/>
          <w:szCs w:val="30"/>
        </w:rPr>
        <w:t>不予立案或者驳回起诉确有错误的。”本案两审存在以下错误，应当再审：</w:t>
      </w:r>
      <w:r>
        <w:rPr>
          <w:rFonts w:hint="eastAsia"/>
          <w:sz w:val="30"/>
          <w:szCs w:val="30"/>
        </w:rPr>
        <w:t>1.</w:t>
      </w:r>
      <w:r>
        <w:rPr>
          <w:rFonts w:hint="eastAsia"/>
          <w:sz w:val="30"/>
          <w:szCs w:val="30"/>
        </w:rPr>
        <w:t>两审认定事实错误。两审法院均以天津市教育委员会不是履行医疗纠纷的主体责任国家机关为理由驳回确有错误。医科大学第二医院是由医科大学经营管理的医院</w:t>
      </w:r>
      <w:r>
        <w:rPr>
          <w:rFonts w:hint="eastAsia"/>
          <w:sz w:val="30"/>
          <w:szCs w:val="30"/>
        </w:rPr>
        <w:t>,</w:t>
      </w:r>
      <w:r>
        <w:rPr>
          <w:rFonts w:hint="eastAsia"/>
          <w:sz w:val="30"/>
          <w:szCs w:val="30"/>
        </w:rPr>
        <w:t>医科大学当然对其经营的下属医院有管理法定职责</w:t>
      </w:r>
      <w:r>
        <w:rPr>
          <w:rFonts w:hint="eastAsia"/>
          <w:sz w:val="30"/>
          <w:szCs w:val="30"/>
        </w:rPr>
        <w:t>,</w:t>
      </w:r>
      <w:r>
        <w:rPr>
          <w:rFonts w:hint="eastAsia"/>
          <w:sz w:val="30"/>
          <w:szCs w:val="30"/>
        </w:rPr>
        <w:t>天津市教育委员会又是主管医科大学的国家法定主管机关</w:t>
      </w:r>
      <w:r>
        <w:rPr>
          <w:rFonts w:hint="eastAsia"/>
          <w:sz w:val="30"/>
          <w:szCs w:val="30"/>
        </w:rPr>
        <w:t>,</w:t>
      </w:r>
      <w:r>
        <w:rPr>
          <w:rFonts w:hint="eastAsia"/>
          <w:sz w:val="30"/>
          <w:szCs w:val="30"/>
        </w:rPr>
        <w:t>医科大学第二医院应是天津市教育委员会和天津市卫生健康委员会双重管理的。再审申</w:t>
      </w:r>
      <w:r>
        <w:rPr>
          <w:rFonts w:hint="eastAsia"/>
          <w:sz w:val="30"/>
          <w:szCs w:val="30"/>
        </w:rPr>
        <w:t>请人多次前往卫健委反映二附属医院错误诊断和邢淑华医疗事故的问题，被告知二附属医院不归卫健委管。申请人提交给天津市和平区人民法院《</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日冯跃向</w:t>
      </w:r>
      <w:r>
        <w:rPr>
          <w:rFonts w:hint="eastAsia"/>
          <w:sz w:val="30"/>
          <w:szCs w:val="30"/>
        </w:rPr>
        <w:t>8890</w:t>
      </w:r>
      <w:r>
        <w:rPr>
          <w:rFonts w:hint="eastAsia"/>
          <w:sz w:val="30"/>
          <w:szCs w:val="30"/>
        </w:rPr>
        <w:t>投诉第二医院投诉单》显示天津市政府把</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日冯跃向</w:t>
      </w:r>
      <w:r>
        <w:rPr>
          <w:rFonts w:hint="eastAsia"/>
          <w:sz w:val="30"/>
          <w:szCs w:val="30"/>
        </w:rPr>
        <w:t>8890</w:t>
      </w:r>
      <w:r>
        <w:rPr>
          <w:rFonts w:hint="eastAsia"/>
          <w:sz w:val="30"/>
          <w:szCs w:val="30"/>
        </w:rPr>
        <w:t>投诉医科大学第二医院的投诉单转交给了天津市教育委员会负责解决</w:t>
      </w:r>
      <w:r>
        <w:rPr>
          <w:rFonts w:hint="eastAsia"/>
          <w:sz w:val="30"/>
          <w:szCs w:val="30"/>
        </w:rPr>
        <w:t>,</w:t>
      </w:r>
      <w:r>
        <w:rPr>
          <w:rFonts w:hint="eastAsia"/>
          <w:sz w:val="30"/>
          <w:szCs w:val="30"/>
        </w:rPr>
        <w:t>而没有转交给天津市卫健委。因此，</w:t>
      </w:r>
      <w:r>
        <w:rPr>
          <w:rFonts w:hint="eastAsia"/>
          <w:sz w:val="30"/>
          <w:szCs w:val="30"/>
        </w:rPr>
        <w:lastRenderedPageBreak/>
        <w:t>再审申请人当然只能以承办单位天津市教育委员会为被告。天津市教育委员会超过</w:t>
      </w:r>
      <w:r>
        <w:rPr>
          <w:rFonts w:hint="eastAsia"/>
          <w:sz w:val="30"/>
          <w:szCs w:val="30"/>
        </w:rPr>
        <w:t>60</w:t>
      </w:r>
      <w:r>
        <w:rPr>
          <w:rFonts w:hint="eastAsia"/>
          <w:sz w:val="30"/>
          <w:szCs w:val="30"/>
        </w:rPr>
        <w:t>日没有给再审申请人任何答复，也没有责令天津市医科大学给再审申请人限期解决投诉，已经构成行政不作为，不履行其应负的法</w:t>
      </w:r>
      <w:r>
        <w:rPr>
          <w:rFonts w:hint="eastAsia"/>
          <w:sz w:val="30"/>
          <w:szCs w:val="30"/>
        </w:rPr>
        <w:t>定职责</w:t>
      </w:r>
      <w:r>
        <w:rPr>
          <w:rFonts w:hint="eastAsia"/>
          <w:sz w:val="30"/>
          <w:szCs w:val="30"/>
        </w:rPr>
        <w:t>,</w:t>
      </w:r>
      <w:r>
        <w:rPr>
          <w:rFonts w:hint="eastAsia"/>
          <w:sz w:val="30"/>
          <w:szCs w:val="30"/>
        </w:rPr>
        <w:t>按照《中华人民共和国行政诉讼法》第十二条人民法院受理公民、法人或者其他组织提起的下列诉讼</w:t>
      </w:r>
      <w:r>
        <w:rPr>
          <w:rFonts w:hint="eastAsia"/>
          <w:sz w:val="30"/>
          <w:szCs w:val="30"/>
        </w:rPr>
        <w:t>:(</w:t>
      </w:r>
      <w:r>
        <w:rPr>
          <w:rFonts w:hint="eastAsia"/>
          <w:sz w:val="30"/>
          <w:szCs w:val="30"/>
        </w:rPr>
        <w:t>六</w:t>
      </w:r>
      <w:r>
        <w:rPr>
          <w:rFonts w:hint="eastAsia"/>
          <w:sz w:val="30"/>
          <w:szCs w:val="30"/>
        </w:rPr>
        <w:t>)</w:t>
      </w:r>
      <w:r>
        <w:rPr>
          <w:rFonts w:hint="eastAsia"/>
          <w:sz w:val="30"/>
          <w:szCs w:val="30"/>
        </w:rPr>
        <w:t>申请行政机关履行保护人身权、财产权等合法权益的法定职责</w:t>
      </w:r>
      <w:r>
        <w:rPr>
          <w:rFonts w:hint="eastAsia"/>
          <w:sz w:val="30"/>
          <w:szCs w:val="30"/>
        </w:rPr>
        <w:t>,</w:t>
      </w:r>
      <w:r>
        <w:rPr>
          <w:rFonts w:hint="eastAsia"/>
          <w:sz w:val="30"/>
          <w:szCs w:val="30"/>
        </w:rPr>
        <w:t>行政机关拒绝履行或者不予答复的</w:t>
      </w:r>
      <w:r>
        <w:rPr>
          <w:rFonts w:hint="eastAsia"/>
          <w:sz w:val="30"/>
          <w:szCs w:val="30"/>
        </w:rPr>
        <w:t>;</w:t>
      </w:r>
      <w:r>
        <w:rPr>
          <w:rFonts w:hint="eastAsia"/>
          <w:sz w:val="30"/>
          <w:szCs w:val="30"/>
        </w:rPr>
        <w:t>第四十七条公民、法人或者其他组织申请行政机关履行保护其人身权、财产权等合法权益的法定职责</w:t>
      </w:r>
      <w:r>
        <w:rPr>
          <w:rFonts w:hint="eastAsia"/>
          <w:sz w:val="30"/>
          <w:szCs w:val="30"/>
        </w:rPr>
        <w:t>,</w:t>
      </w:r>
      <w:r>
        <w:rPr>
          <w:rFonts w:hint="eastAsia"/>
          <w:sz w:val="30"/>
          <w:szCs w:val="30"/>
        </w:rPr>
        <w:t>行政机关在接到申请之日起两个月内不履行的</w:t>
      </w:r>
      <w:r>
        <w:rPr>
          <w:rFonts w:hint="eastAsia"/>
          <w:sz w:val="30"/>
          <w:szCs w:val="30"/>
        </w:rPr>
        <w:t>,</w:t>
      </w:r>
      <w:r>
        <w:rPr>
          <w:rFonts w:hint="eastAsia"/>
          <w:sz w:val="30"/>
          <w:szCs w:val="30"/>
        </w:rPr>
        <w:t>公民、法人或者其他组织可以向人民法院提起诉讼之规定，再审申请人提起诉讼并无不当。法院应按《中华人民共和国行政诉讼法》第七十二条人民法院经过审理</w:t>
      </w:r>
      <w:r>
        <w:rPr>
          <w:rFonts w:hint="eastAsia"/>
          <w:sz w:val="30"/>
          <w:szCs w:val="30"/>
        </w:rPr>
        <w:t>,</w:t>
      </w:r>
      <w:r>
        <w:rPr>
          <w:rFonts w:hint="eastAsia"/>
          <w:sz w:val="30"/>
          <w:szCs w:val="30"/>
        </w:rPr>
        <w:t>查明被告不履行法定职责的</w:t>
      </w:r>
      <w:r>
        <w:rPr>
          <w:rFonts w:hint="eastAsia"/>
          <w:sz w:val="30"/>
          <w:szCs w:val="30"/>
        </w:rPr>
        <w:t>,</w:t>
      </w:r>
      <w:r>
        <w:rPr>
          <w:rFonts w:hint="eastAsia"/>
          <w:sz w:val="30"/>
          <w:szCs w:val="30"/>
        </w:rPr>
        <w:t>判决被告履行。</w:t>
      </w:r>
      <w:r>
        <w:rPr>
          <w:rFonts w:hint="eastAsia"/>
          <w:sz w:val="30"/>
          <w:szCs w:val="30"/>
        </w:rPr>
        <w:t>2.</w:t>
      </w:r>
      <w:r>
        <w:rPr>
          <w:rFonts w:hint="eastAsia"/>
          <w:sz w:val="30"/>
          <w:szCs w:val="30"/>
        </w:rPr>
        <w:t>两审适用法律错误。两审法院都以《关于调整公务员部门</w:t>
      </w:r>
      <w:r>
        <w:rPr>
          <w:rFonts w:hint="eastAsia"/>
          <w:sz w:val="30"/>
          <w:szCs w:val="30"/>
        </w:rPr>
        <w:t>(</w:t>
      </w:r>
      <w:r>
        <w:rPr>
          <w:rFonts w:hint="eastAsia"/>
          <w:sz w:val="30"/>
          <w:szCs w:val="30"/>
        </w:rPr>
        <w:t>单位</w:t>
      </w:r>
      <w:r>
        <w:rPr>
          <w:rFonts w:hint="eastAsia"/>
          <w:sz w:val="30"/>
          <w:szCs w:val="30"/>
        </w:rPr>
        <w:t>)</w:t>
      </w:r>
      <w:r>
        <w:rPr>
          <w:rFonts w:hint="eastAsia"/>
          <w:sz w:val="30"/>
          <w:szCs w:val="30"/>
        </w:rPr>
        <w:t>所属学校管理体制和布局结构的实施意见》为驳回冯跃诉讼请求的法律依据严重违法</w:t>
      </w:r>
      <w:r>
        <w:rPr>
          <w:rFonts w:hint="eastAsia"/>
          <w:sz w:val="30"/>
          <w:szCs w:val="30"/>
        </w:rPr>
        <w:t>,</w:t>
      </w:r>
      <w:r>
        <w:rPr>
          <w:rFonts w:hint="eastAsia"/>
          <w:sz w:val="30"/>
          <w:szCs w:val="30"/>
        </w:rPr>
        <w:t>意见并非国家法律，不能作为裁判依据。</w:t>
      </w:r>
      <w:r>
        <w:rPr>
          <w:rFonts w:hint="eastAsia"/>
          <w:sz w:val="30"/>
          <w:szCs w:val="30"/>
        </w:rPr>
        <w:t>3.</w:t>
      </w:r>
      <w:r>
        <w:rPr>
          <w:rFonts w:hint="eastAsia"/>
          <w:sz w:val="30"/>
          <w:szCs w:val="30"/>
        </w:rPr>
        <w:t>两审严重违反法定程序。两审法院均在未开庭质证的情况下，以没有证据证明天津市教育委员会履行了其法定职责就作出驳回再审申请人诉讼请求，违反《中华人民共和国行政诉讼法》九十一条第</w:t>
      </w:r>
      <w:r>
        <w:rPr>
          <w:rFonts w:hint="eastAsia"/>
          <w:sz w:val="30"/>
          <w:szCs w:val="30"/>
        </w:rPr>
        <w:t>(</w:t>
      </w:r>
      <w:r>
        <w:rPr>
          <w:rFonts w:hint="eastAsia"/>
          <w:sz w:val="30"/>
          <w:szCs w:val="30"/>
        </w:rPr>
        <w:t>三</w:t>
      </w:r>
      <w:r>
        <w:rPr>
          <w:rFonts w:hint="eastAsia"/>
          <w:sz w:val="30"/>
          <w:szCs w:val="30"/>
        </w:rPr>
        <w:t>)</w:t>
      </w:r>
      <w:r>
        <w:rPr>
          <w:rFonts w:hint="eastAsia"/>
          <w:sz w:val="30"/>
          <w:szCs w:val="30"/>
        </w:rPr>
        <w:t>款之规定。天津市教育委员会并没有向法院提交在规定的</w:t>
      </w:r>
      <w:r>
        <w:rPr>
          <w:rFonts w:hint="eastAsia"/>
          <w:sz w:val="30"/>
          <w:szCs w:val="30"/>
        </w:rPr>
        <w:t>60</w:t>
      </w:r>
      <w:r>
        <w:rPr>
          <w:rFonts w:hint="eastAsia"/>
          <w:sz w:val="30"/>
          <w:szCs w:val="30"/>
        </w:rPr>
        <w:t>日内履行法定职责的证据，也没有提交可以不履行法定职责的法律依据，违反《中华人民共和国行政诉讼法》第三十四条</w:t>
      </w:r>
      <w:r>
        <w:rPr>
          <w:rFonts w:hint="eastAsia"/>
          <w:sz w:val="30"/>
          <w:szCs w:val="30"/>
        </w:rPr>
        <w:t>之规定。两审法院都应公开开庭审理</w:t>
      </w:r>
      <w:r>
        <w:rPr>
          <w:rFonts w:hint="eastAsia"/>
          <w:sz w:val="30"/>
          <w:szCs w:val="30"/>
        </w:rPr>
        <w:t>,</w:t>
      </w:r>
      <w:r>
        <w:rPr>
          <w:rFonts w:hint="eastAsia"/>
          <w:sz w:val="30"/>
          <w:szCs w:val="30"/>
        </w:rPr>
        <w:t>问明诉讼请求、事实和理由后经质证和辩论才能依法作出判决</w:t>
      </w:r>
      <w:r>
        <w:rPr>
          <w:rFonts w:hint="eastAsia"/>
          <w:sz w:val="30"/>
          <w:szCs w:val="30"/>
        </w:rPr>
        <w:t>,</w:t>
      </w:r>
      <w:r>
        <w:rPr>
          <w:rFonts w:hint="eastAsia"/>
          <w:sz w:val="30"/>
          <w:szCs w:val="30"/>
        </w:rPr>
        <w:t>两审法院没有开庭</w:t>
      </w:r>
      <w:r>
        <w:rPr>
          <w:rFonts w:hint="eastAsia"/>
          <w:sz w:val="30"/>
          <w:szCs w:val="30"/>
        </w:rPr>
        <w:t>,</w:t>
      </w:r>
      <w:r>
        <w:rPr>
          <w:rFonts w:hint="eastAsia"/>
          <w:sz w:val="30"/>
          <w:szCs w:val="30"/>
        </w:rPr>
        <w:t>更没有问过再审申请人是否有新证据提交，违反审判程序。故请求：</w:t>
      </w:r>
      <w:r>
        <w:rPr>
          <w:rFonts w:hint="eastAsia"/>
          <w:sz w:val="30"/>
          <w:szCs w:val="30"/>
        </w:rPr>
        <w:t>1.</w:t>
      </w:r>
      <w:r>
        <w:rPr>
          <w:rFonts w:hint="eastAsia"/>
          <w:sz w:val="30"/>
          <w:szCs w:val="30"/>
        </w:rPr>
        <w:t>判决撤销天津市和平区人民法院（</w:t>
      </w:r>
      <w:r>
        <w:rPr>
          <w:rFonts w:hint="eastAsia"/>
          <w:sz w:val="30"/>
          <w:szCs w:val="30"/>
        </w:rPr>
        <w:t>2020</w:t>
      </w:r>
      <w:r>
        <w:rPr>
          <w:rFonts w:hint="eastAsia"/>
          <w:sz w:val="30"/>
          <w:szCs w:val="30"/>
        </w:rPr>
        <w:t>）津</w:t>
      </w:r>
      <w:r>
        <w:rPr>
          <w:rFonts w:hint="eastAsia"/>
          <w:sz w:val="30"/>
          <w:szCs w:val="30"/>
        </w:rPr>
        <w:t>0101</w:t>
      </w:r>
      <w:r>
        <w:rPr>
          <w:rFonts w:hint="eastAsia"/>
          <w:sz w:val="30"/>
          <w:szCs w:val="30"/>
        </w:rPr>
        <w:t>行初</w:t>
      </w:r>
      <w:r>
        <w:rPr>
          <w:rFonts w:hint="eastAsia"/>
          <w:sz w:val="30"/>
          <w:szCs w:val="30"/>
        </w:rPr>
        <w:t>5</w:t>
      </w:r>
      <w:r>
        <w:rPr>
          <w:rFonts w:hint="eastAsia"/>
          <w:sz w:val="30"/>
          <w:szCs w:val="30"/>
        </w:rPr>
        <w:t>号行政裁定和天津市第一中级人民法院（</w:t>
      </w:r>
      <w:r>
        <w:rPr>
          <w:rFonts w:hint="eastAsia"/>
          <w:sz w:val="30"/>
          <w:szCs w:val="30"/>
        </w:rPr>
        <w:t>2020</w:t>
      </w:r>
      <w:r>
        <w:rPr>
          <w:rFonts w:hint="eastAsia"/>
          <w:sz w:val="30"/>
          <w:szCs w:val="30"/>
        </w:rPr>
        <w:t>）津</w:t>
      </w:r>
      <w:r>
        <w:rPr>
          <w:rFonts w:hint="eastAsia"/>
          <w:sz w:val="30"/>
          <w:szCs w:val="30"/>
        </w:rPr>
        <w:t>01</w:t>
      </w:r>
      <w:r>
        <w:rPr>
          <w:rFonts w:hint="eastAsia"/>
          <w:sz w:val="30"/>
          <w:szCs w:val="30"/>
        </w:rPr>
        <w:t>行终</w:t>
      </w:r>
      <w:r>
        <w:rPr>
          <w:rFonts w:hint="eastAsia"/>
          <w:sz w:val="30"/>
          <w:szCs w:val="30"/>
        </w:rPr>
        <w:t>404</w:t>
      </w:r>
      <w:r>
        <w:rPr>
          <w:rFonts w:hint="eastAsia"/>
          <w:sz w:val="30"/>
          <w:szCs w:val="30"/>
        </w:rPr>
        <w:lastRenderedPageBreak/>
        <w:t>号行政裁定；</w:t>
      </w:r>
      <w:r>
        <w:rPr>
          <w:rFonts w:hint="eastAsia"/>
          <w:sz w:val="30"/>
          <w:szCs w:val="30"/>
        </w:rPr>
        <w:t>2.</w:t>
      </w:r>
      <w:r>
        <w:rPr>
          <w:rFonts w:hint="eastAsia"/>
          <w:sz w:val="30"/>
          <w:szCs w:val="30"/>
        </w:rPr>
        <w:t>发回天津市和平区人民法院重新审理或按冯跃一审诉讼请求改判天津市教育委员会履行法定职责，对冯跃</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日投诉各事项给予书面答复，注明行政复议机关地址和电话；</w:t>
      </w:r>
      <w:r>
        <w:rPr>
          <w:rFonts w:hint="eastAsia"/>
          <w:sz w:val="30"/>
          <w:szCs w:val="30"/>
        </w:rPr>
        <w:t>3.</w:t>
      </w:r>
      <w:r>
        <w:rPr>
          <w:rFonts w:hint="eastAsia"/>
          <w:sz w:val="30"/>
          <w:szCs w:val="30"/>
        </w:rPr>
        <w:t>判天津市教育委员会限期给冯跃解决</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日投诉各项事项请求履行其法定职责；</w:t>
      </w:r>
      <w:r>
        <w:rPr>
          <w:rFonts w:hint="eastAsia"/>
          <w:sz w:val="30"/>
          <w:szCs w:val="30"/>
        </w:rPr>
        <w:t>4.</w:t>
      </w:r>
      <w:r>
        <w:rPr>
          <w:rFonts w:hint="eastAsia"/>
          <w:sz w:val="30"/>
          <w:szCs w:val="30"/>
        </w:rPr>
        <w:t>诉讼费由被申请人承担。</w:t>
      </w:r>
    </w:p>
    <w:p w:rsidR="00000000" w:rsidRDefault="001C70E2">
      <w:pPr>
        <w:spacing w:line="500" w:lineRule="atLeast"/>
        <w:ind w:firstLine="600"/>
        <w:divId w:val="977150532"/>
        <w:rPr>
          <w:rFonts w:hint="eastAsia"/>
          <w:sz w:val="30"/>
          <w:szCs w:val="30"/>
        </w:rPr>
      </w:pPr>
      <w:r>
        <w:rPr>
          <w:rFonts w:hint="eastAsia"/>
          <w:sz w:val="30"/>
          <w:szCs w:val="30"/>
        </w:rPr>
        <w:t>本院认为，本案焦点是申请人投诉事项是否属于被申请人的法定职权。根据《医疗机构管理条例》第五条第二款、第三款之规定“县级以上地方人民政府卫生行政部门负责本行政区域内医疗机构的监督管理工作。中国人民解放军卫生主管部门依照本条例和国家有关规定，对军队的医疗机构实施监督管理。”本案被申请人并非县级以上地方人民政府卫生行政部门，对于本行政区域内医疗机构并无监督管理法定职权。本案中，再审申请人于</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日通过天津市便民服务专线平台反映天津医科</w:t>
      </w:r>
      <w:r>
        <w:rPr>
          <w:rFonts w:hint="eastAsia"/>
          <w:sz w:val="30"/>
          <w:szCs w:val="30"/>
        </w:rPr>
        <w:t>大学第二附属医院出具的诊断证明及其母的手术存在问题，进而提起诉讼，请求“判被告天津市教育委员会履行法定职责对冯跃</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日投诉各事项给予书面答复，并注明行政复议机关地址和电话，并判被告限期给冯跃解决</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投诉各事项请求履行其法定职责”。上述事项明显不属于被申请人的法定职权。根据《最高人民法院关于适用〈中华人民共和国行政诉讼法〉的解释》第九十三条第二款“人民法院经审理认为原告所请求履行的法定职责或者给付义务明显不属于行政机关权限范围的，可以裁定驳回起诉”的规定，两审法院裁定驳回起诉，并无不</w:t>
      </w:r>
      <w:r>
        <w:rPr>
          <w:rFonts w:hint="eastAsia"/>
          <w:sz w:val="30"/>
          <w:szCs w:val="30"/>
        </w:rPr>
        <w:t>当。</w:t>
      </w:r>
    </w:p>
    <w:p w:rsidR="00000000" w:rsidRDefault="001C70E2">
      <w:pPr>
        <w:spacing w:line="500" w:lineRule="atLeast"/>
        <w:ind w:firstLine="600"/>
        <w:divId w:val="300965863"/>
        <w:rPr>
          <w:rFonts w:hint="eastAsia"/>
          <w:sz w:val="30"/>
          <w:szCs w:val="30"/>
        </w:rPr>
      </w:pPr>
      <w:r>
        <w:rPr>
          <w:rFonts w:hint="eastAsia"/>
          <w:sz w:val="30"/>
          <w:szCs w:val="30"/>
        </w:rPr>
        <w:t>综上，冯跃的再审申请不符合《中华人民共和国行政诉讼法》第九十一条规定的情形。依照《最高人民法院关于适</w:t>
      </w:r>
      <w:r>
        <w:rPr>
          <w:rFonts w:hint="eastAsia"/>
          <w:sz w:val="30"/>
          <w:szCs w:val="30"/>
        </w:rPr>
        <w:t>用</w:t>
      </w:r>
      <w:r>
        <w:rPr>
          <w:rFonts w:hint="eastAsia"/>
          <w:sz w:val="30"/>
          <w:szCs w:val="30"/>
        </w:rPr>
        <w:t>的解释》第一百一十六条第二款之规定，裁定如下：</w:t>
      </w:r>
    </w:p>
    <w:p w:rsidR="00000000" w:rsidRDefault="001C70E2">
      <w:pPr>
        <w:spacing w:line="500" w:lineRule="atLeast"/>
        <w:ind w:firstLine="600"/>
        <w:divId w:val="1323006918"/>
        <w:rPr>
          <w:rFonts w:hint="eastAsia"/>
          <w:sz w:val="30"/>
          <w:szCs w:val="30"/>
        </w:rPr>
      </w:pPr>
      <w:r>
        <w:rPr>
          <w:rFonts w:hint="eastAsia"/>
          <w:sz w:val="30"/>
          <w:szCs w:val="30"/>
        </w:rPr>
        <w:t>驳回冯跃的再审申请。</w:t>
      </w:r>
    </w:p>
    <w:p w:rsidR="00000000" w:rsidRDefault="001C70E2">
      <w:pPr>
        <w:spacing w:line="500" w:lineRule="atLeast"/>
        <w:jc w:val="right"/>
        <w:divId w:val="1965579058"/>
        <w:rPr>
          <w:rFonts w:hint="eastAsia"/>
          <w:sz w:val="30"/>
          <w:szCs w:val="30"/>
        </w:rPr>
      </w:pPr>
      <w:r>
        <w:rPr>
          <w:rFonts w:hint="eastAsia"/>
          <w:sz w:val="30"/>
          <w:szCs w:val="30"/>
        </w:rPr>
        <w:t>审判长　蔡　力</w:t>
      </w:r>
    </w:p>
    <w:p w:rsidR="00000000" w:rsidRDefault="001C70E2">
      <w:pPr>
        <w:spacing w:line="500" w:lineRule="atLeast"/>
        <w:jc w:val="right"/>
        <w:divId w:val="524052596"/>
        <w:rPr>
          <w:rFonts w:hint="eastAsia"/>
          <w:sz w:val="30"/>
          <w:szCs w:val="30"/>
        </w:rPr>
      </w:pPr>
      <w:r>
        <w:rPr>
          <w:rFonts w:hint="eastAsia"/>
          <w:sz w:val="30"/>
          <w:szCs w:val="30"/>
        </w:rPr>
        <w:t>审判员　廖希飞</w:t>
      </w:r>
    </w:p>
    <w:p w:rsidR="00000000" w:rsidRDefault="001C70E2">
      <w:pPr>
        <w:spacing w:line="500" w:lineRule="atLeast"/>
        <w:jc w:val="right"/>
        <w:divId w:val="1552688241"/>
        <w:rPr>
          <w:rFonts w:hint="eastAsia"/>
          <w:sz w:val="30"/>
          <w:szCs w:val="30"/>
        </w:rPr>
      </w:pPr>
      <w:r>
        <w:rPr>
          <w:rFonts w:hint="eastAsia"/>
          <w:sz w:val="30"/>
          <w:szCs w:val="30"/>
        </w:rPr>
        <w:t>审判员　张明珠</w:t>
      </w:r>
    </w:p>
    <w:p w:rsidR="00000000" w:rsidRDefault="001C70E2">
      <w:pPr>
        <w:spacing w:line="500" w:lineRule="atLeast"/>
        <w:jc w:val="right"/>
        <w:divId w:val="236863390"/>
        <w:rPr>
          <w:rFonts w:hint="eastAsia"/>
          <w:sz w:val="30"/>
          <w:szCs w:val="30"/>
        </w:rPr>
      </w:pPr>
      <w:r>
        <w:rPr>
          <w:rFonts w:hint="eastAsia"/>
          <w:sz w:val="30"/>
          <w:szCs w:val="30"/>
        </w:rPr>
        <w:t>二〇二一年五月二十七日</w:t>
      </w:r>
    </w:p>
    <w:p w:rsidR="00000000" w:rsidRDefault="001C70E2">
      <w:pPr>
        <w:spacing w:line="500" w:lineRule="atLeast"/>
        <w:ind w:firstLine="600"/>
        <w:divId w:val="523520117"/>
        <w:rPr>
          <w:rFonts w:hint="eastAsia"/>
          <w:sz w:val="30"/>
          <w:szCs w:val="30"/>
        </w:rPr>
      </w:pPr>
      <w:r>
        <w:rPr>
          <w:rFonts w:hint="eastAsia"/>
          <w:sz w:val="30"/>
          <w:szCs w:val="30"/>
        </w:rPr>
        <w:t>法官助理陈爱敏</w:t>
      </w:r>
    </w:p>
    <w:p w:rsidR="00000000" w:rsidRDefault="001C70E2">
      <w:pPr>
        <w:spacing w:line="500" w:lineRule="atLeast"/>
        <w:ind w:firstLine="600"/>
        <w:divId w:val="1229146003"/>
        <w:rPr>
          <w:rFonts w:hint="eastAsia"/>
          <w:sz w:val="30"/>
          <w:szCs w:val="30"/>
        </w:rPr>
      </w:pPr>
      <w:r>
        <w:rPr>
          <w:rFonts w:hint="eastAsia"/>
          <w:sz w:val="30"/>
          <w:szCs w:val="30"/>
        </w:rPr>
        <w:t>书记员满开琳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0E2" w:rsidRDefault="001C70E2" w:rsidP="001C70E2">
      <w:r>
        <w:separator/>
      </w:r>
    </w:p>
  </w:endnote>
  <w:endnote w:type="continuationSeparator" w:id="0">
    <w:p w:rsidR="001C70E2" w:rsidRDefault="001C70E2" w:rsidP="001C7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0E2" w:rsidRDefault="001C70E2" w:rsidP="001C70E2">
      <w:r>
        <w:separator/>
      </w:r>
    </w:p>
  </w:footnote>
  <w:footnote w:type="continuationSeparator" w:id="0">
    <w:p w:rsidR="001C70E2" w:rsidRDefault="001C70E2" w:rsidP="001C70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C70E2"/>
    <w:rsid w:val="001C7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C70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70E2"/>
    <w:rPr>
      <w:rFonts w:ascii="宋体" w:eastAsia="宋体" w:hAnsi="宋体" w:cs="宋体"/>
      <w:sz w:val="18"/>
      <w:szCs w:val="18"/>
    </w:rPr>
  </w:style>
  <w:style w:type="paragraph" w:styleId="a5">
    <w:name w:val="footer"/>
    <w:basedOn w:val="a"/>
    <w:link w:val="a6"/>
    <w:uiPriority w:val="99"/>
    <w:unhideWhenUsed/>
    <w:rsid w:val="001C70E2"/>
    <w:pPr>
      <w:tabs>
        <w:tab w:val="center" w:pos="4153"/>
        <w:tab w:val="right" w:pos="8306"/>
      </w:tabs>
      <w:snapToGrid w:val="0"/>
    </w:pPr>
    <w:rPr>
      <w:sz w:val="18"/>
      <w:szCs w:val="18"/>
    </w:rPr>
  </w:style>
  <w:style w:type="character" w:customStyle="1" w:styleId="a6">
    <w:name w:val="页脚 字符"/>
    <w:basedOn w:val="a0"/>
    <w:link w:val="a5"/>
    <w:uiPriority w:val="99"/>
    <w:rsid w:val="001C70E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94100">
      <w:marLeft w:val="0"/>
      <w:marRight w:val="0"/>
      <w:marTop w:val="10"/>
      <w:marBottom w:val="10"/>
      <w:divBdr>
        <w:top w:val="none" w:sz="0" w:space="0" w:color="auto"/>
        <w:left w:val="none" w:sz="0" w:space="0" w:color="auto"/>
        <w:bottom w:val="none" w:sz="0" w:space="0" w:color="auto"/>
        <w:right w:val="none" w:sz="0" w:space="0" w:color="auto"/>
      </w:divBdr>
    </w:div>
    <w:div w:id="164828580">
      <w:marLeft w:val="0"/>
      <w:marRight w:val="0"/>
      <w:marTop w:val="10"/>
      <w:marBottom w:val="10"/>
      <w:divBdr>
        <w:top w:val="none" w:sz="0" w:space="0" w:color="auto"/>
        <w:left w:val="none" w:sz="0" w:space="0" w:color="auto"/>
        <w:bottom w:val="none" w:sz="0" w:space="0" w:color="auto"/>
        <w:right w:val="none" w:sz="0" w:space="0" w:color="auto"/>
      </w:divBdr>
    </w:div>
    <w:div w:id="236863390">
      <w:marLeft w:val="0"/>
      <w:marRight w:val="720"/>
      <w:marTop w:val="10"/>
      <w:marBottom w:val="10"/>
      <w:divBdr>
        <w:top w:val="none" w:sz="0" w:space="0" w:color="auto"/>
        <w:left w:val="none" w:sz="0" w:space="0" w:color="auto"/>
        <w:bottom w:val="none" w:sz="0" w:space="0" w:color="auto"/>
        <w:right w:val="none" w:sz="0" w:space="0" w:color="auto"/>
      </w:divBdr>
    </w:div>
    <w:div w:id="255217766">
      <w:marLeft w:val="0"/>
      <w:marRight w:val="0"/>
      <w:marTop w:val="10"/>
      <w:marBottom w:val="10"/>
      <w:divBdr>
        <w:top w:val="none" w:sz="0" w:space="0" w:color="auto"/>
        <w:left w:val="none" w:sz="0" w:space="0" w:color="auto"/>
        <w:bottom w:val="none" w:sz="0" w:space="0" w:color="auto"/>
        <w:right w:val="none" w:sz="0" w:space="0" w:color="auto"/>
      </w:divBdr>
    </w:div>
    <w:div w:id="300965863">
      <w:marLeft w:val="0"/>
      <w:marRight w:val="0"/>
      <w:marTop w:val="10"/>
      <w:marBottom w:val="10"/>
      <w:divBdr>
        <w:top w:val="none" w:sz="0" w:space="0" w:color="auto"/>
        <w:left w:val="none" w:sz="0" w:space="0" w:color="auto"/>
        <w:bottom w:val="none" w:sz="0" w:space="0" w:color="auto"/>
        <w:right w:val="none" w:sz="0" w:space="0" w:color="auto"/>
      </w:divBdr>
    </w:div>
    <w:div w:id="523520117">
      <w:marLeft w:val="0"/>
      <w:marRight w:val="0"/>
      <w:marTop w:val="10"/>
      <w:marBottom w:val="10"/>
      <w:divBdr>
        <w:top w:val="none" w:sz="0" w:space="0" w:color="auto"/>
        <w:left w:val="none" w:sz="0" w:space="0" w:color="auto"/>
        <w:bottom w:val="none" w:sz="0" w:space="0" w:color="auto"/>
        <w:right w:val="none" w:sz="0" w:space="0" w:color="auto"/>
      </w:divBdr>
    </w:div>
    <w:div w:id="524052596">
      <w:marLeft w:val="0"/>
      <w:marRight w:val="720"/>
      <w:marTop w:val="10"/>
      <w:marBottom w:val="10"/>
      <w:divBdr>
        <w:top w:val="none" w:sz="0" w:space="0" w:color="auto"/>
        <w:left w:val="none" w:sz="0" w:space="0" w:color="auto"/>
        <w:bottom w:val="none" w:sz="0" w:space="0" w:color="auto"/>
        <w:right w:val="none" w:sz="0" w:space="0" w:color="auto"/>
      </w:divBdr>
    </w:div>
    <w:div w:id="549726731">
      <w:marLeft w:val="0"/>
      <w:marRight w:val="0"/>
      <w:marTop w:val="10"/>
      <w:marBottom w:val="10"/>
      <w:divBdr>
        <w:top w:val="none" w:sz="0" w:space="0" w:color="auto"/>
        <w:left w:val="none" w:sz="0" w:space="0" w:color="auto"/>
        <w:bottom w:val="none" w:sz="0" w:space="0" w:color="auto"/>
        <w:right w:val="none" w:sz="0" w:space="0" w:color="auto"/>
      </w:divBdr>
    </w:div>
    <w:div w:id="957368263">
      <w:marLeft w:val="0"/>
      <w:marRight w:val="0"/>
      <w:marTop w:val="10"/>
      <w:marBottom w:val="10"/>
      <w:divBdr>
        <w:top w:val="none" w:sz="0" w:space="0" w:color="auto"/>
        <w:left w:val="none" w:sz="0" w:space="0" w:color="auto"/>
        <w:bottom w:val="none" w:sz="0" w:space="0" w:color="auto"/>
        <w:right w:val="none" w:sz="0" w:space="0" w:color="auto"/>
      </w:divBdr>
    </w:div>
    <w:div w:id="977150532">
      <w:marLeft w:val="0"/>
      <w:marRight w:val="0"/>
      <w:marTop w:val="10"/>
      <w:marBottom w:val="10"/>
      <w:divBdr>
        <w:top w:val="none" w:sz="0" w:space="0" w:color="auto"/>
        <w:left w:val="none" w:sz="0" w:space="0" w:color="auto"/>
        <w:bottom w:val="none" w:sz="0" w:space="0" w:color="auto"/>
        <w:right w:val="none" w:sz="0" w:space="0" w:color="auto"/>
      </w:divBdr>
    </w:div>
    <w:div w:id="1205217645">
      <w:marLeft w:val="0"/>
      <w:marRight w:val="0"/>
      <w:marTop w:val="10"/>
      <w:marBottom w:val="10"/>
      <w:divBdr>
        <w:top w:val="none" w:sz="0" w:space="0" w:color="auto"/>
        <w:left w:val="none" w:sz="0" w:space="0" w:color="auto"/>
        <w:bottom w:val="none" w:sz="0" w:space="0" w:color="auto"/>
        <w:right w:val="none" w:sz="0" w:space="0" w:color="auto"/>
      </w:divBdr>
    </w:div>
    <w:div w:id="1229146003">
      <w:marLeft w:val="0"/>
      <w:marRight w:val="0"/>
      <w:marTop w:val="10"/>
      <w:marBottom w:val="10"/>
      <w:divBdr>
        <w:top w:val="none" w:sz="0" w:space="0" w:color="auto"/>
        <w:left w:val="none" w:sz="0" w:space="0" w:color="auto"/>
        <w:bottom w:val="none" w:sz="0" w:space="0" w:color="auto"/>
        <w:right w:val="none" w:sz="0" w:space="0" w:color="auto"/>
      </w:divBdr>
    </w:div>
    <w:div w:id="1323006918">
      <w:marLeft w:val="0"/>
      <w:marRight w:val="0"/>
      <w:marTop w:val="10"/>
      <w:marBottom w:val="10"/>
      <w:divBdr>
        <w:top w:val="none" w:sz="0" w:space="0" w:color="auto"/>
        <w:left w:val="none" w:sz="0" w:space="0" w:color="auto"/>
        <w:bottom w:val="none" w:sz="0" w:space="0" w:color="auto"/>
        <w:right w:val="none" w:sz="0" w:space="0" w:color="auto"/>
      </w:divBdr>
    </w:div>
    <w:div w:id="1552688241">
      <w:marLeft w:val="0"/>
      <w:marRight w:val="720"/>
      <w:marTop w:val="10"/>
      <w:marBottom w:val="10"/>
      <w:divBdr>
        <w:top w:val="none" w:sz="0" w:space="0" w:color="auto"/>
        <w:left w:val="none" w:sz="0" w:space="0" w:color="auto"/>
        <w:bottom w:val="none" w:sz="0" w:space="0" w:color="auto"/>
        <w:right w:val="none" w:sz="0" w:space="0" w:color="auto"/>
      </w:divBdr>
    </w:div>
    <w:div w:id="1591692227">
      <w:marLeft w:val="0"/>
      <w:marRight w:val="0"/>
      <w:marTop w:val="10"/>
      <w:marBottom w:val="10"/>
      <w:divBdr>
        <w:top w:val="none" w:sz="0" w:space="0" w:color="auto"/>
        <w:left w:val="none" w:sz="0" w:space="0" w:color="auto"/>
        <w:bottom w:val="none" w:sz="0" w:space="0" w:color="auto"/>
        <w:right w:val="none" w:sz="0" w:space="0" w:color="auto"/>
      </w:divBdr>
    </w:div>
    <w:div w:id="1595819941">
      <w:marLeft w:val="0"/>
      <w:marRight w:val="0"/>
      <w:marTop w:val="10"/>
      <w:marBottom w:val="10"/>
      <w:divBdr>
        <w:top w:val="none" w:sz="0" w:space="0" w:color="auto"/>
        <w:left w:val="none" w:sz="0" w:space="0" w:color="auto"/>
        <w:bottom w:val="none" w:sz="0" w:space="0" w:color="auto"/>
        <w:right w:val="none" w:sz="0" w:space="0" w:color="auto"/>
      </w:divBdr>
    </w:div>
    <w:div w:id="1965579058">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