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407FB">
      <w:pPr>
        <w:spacing w:line="500" w:lineRule="atLeast"/>
        <w:jc w:val="center"/>
        <w:divId w:val="972715079"/>
        <w:rPr>
          <w:rFonts w:ascii="黑体" w:eastAsia="黑体" w:hAnsi="黑体"/>
          <w:sz w:val="36"/>
          <w:szCs w:val="36"/>
        </w:rPr>
      </w:pPr>
      <w:bookmarkStart w:id="0" w:name="_GoBack"/>
      <w:bookmarkEnd w:id="0"/>
      <w:r>
        <w:rPr>
          <w:rFonts w:ascii="黑体" w:eastAsia="黑体" w:hAnsi="黑体" w:hint="eastAsia"/>
          <w:sz w:val="36"/>
          <w:szCs w:val="36"/>
        </w:rPr>
        <w:t>北京市高级人民法院</w:t>
      </w:r>
    </w:p>
    <w:p w:rsidR="00000000" w:rsidRDefault="000407FB">
      <w:pPr>
        <w:spacing w:line="500" w:lineRule="atLeast"/>
        <w:jc w:val="center"/>
        <w:divId w:val="189885681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407FB">
      <w:pPr>
        <w:spacing w:line="500" w:lineRule="atLeast"/>
        <w:jc w:val="right"/>
        <w:divId w:val="231433561"/>
        <w:rPr>
          <w:rFonts w:hint="eastAsia"/>
          <w:sz w:val="30"/>
          <w:szCs w:val="30"/>
        </w:rPr>
      </w:pPr>
      <w:r>
        <w:rPr>
          <w:rFonts w:hint="eastAsia"/>
          <w:sz w:val="30"/>
          <w:szCs w:val="30"/>
        </w:rPr>
        <w:t>(2021)</w:t>
      </w:r>
      <w:r>
        <w:rPr>
          <w:rFonts w:hint="eastAsia"/>
          <w:sz w:val="30"/>
          <w:szCs w:val="30"/>
        </w:rPr>
        <w:t>京民申</w:t>
      </w:r>
      <w:r>
        <w:rPr>
          <w:rFonts w:hint="eastAsia"/>
          <w:sz w:val="30"/>
          <w:szCs w:val="30"/>
        </w:rPr>
        <w:t>2084</w:t>
      </w:r>
      <w:r>
        <w:rPr>
          <w:rFonts w:hint="eastAsia"/>
          <w:sz w:val="30"/>
          <w:szCs w:val="30"/>
        </w:rPr>
        <w:t>号</w:t>
      </w:r>
    </w:p>
    <w:p w:rsidR="00000000" w:rsidRDefault="000407FB">
      <w:pPr>
        <w:spacing w:line="500" w:lineRule="atLeast"/>
        <w:ind w:firstLine="600"/>
        <w:divId w:val="671489042"/>
        <w:rPr>
          <w:rFonts w:hint="eastAsia"/>
          <w:sz w:val="30"/>
          <w:szCs w:val="30"/>
        </w:rPr>
      </w:pPr>
      <w:r>
        <w:rPr>
          <w:rFonts w:hint="eastAsia"/>
          <w:sz w:val="30"/>
          <w:szCs w:val="30"/>
        </w:rPr>
        <w:t>再审申请人（一审原告、二审上诉人）：王春燕，女，</w:t>
      </w:r>
      <w:r>
        <w:rPr>
          <w:rFonts w:hint="eastAsia"/>
          <w:sz w:val="30"/>
          <w:szCs w:val="30"/>
        </w:rPr>
        <w:t>1982</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日出生，汉族，住北京市石景山区。</w:t>
      </w:r>
    </w:p>
    <w:p w:rsidR="00000000" w:rsidRDefault="000407FB">
      <w:pPr>
        <w:spacing w:line="500" w:lineRule="atLeast"/>
        <w:ind w:firstLine="600"/>
        <w:divId w:val="1832676865"/>
        <w:rPr>
          <w:rFonts w:hint="eastAsia"/>
          <w:sz w:val="30"/>
          <w:szCs w:val="30"/>
        </w:rPr>
      </w:pPr>
      <w:r>
        <w:rPr>
          <w:rFonts w:hint="eastAsia"/>
          <w:sz w:val="30"/>
          <w:szCs w:val="30"/>
        </w:rPr>
        <w:t>再审申请人（一审原告、二审上诉人）：刘北军，男，</w:t>
      </w:r>
      <w:r>
        <w:rPr>
          <w:rFonts w:hint="eastAsia"/>
          <w:sz w:val="30"/>
          <w:szCs w:val="30"/>
        </w:rPr>
        <w:t>1978</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日出生，汉族，住北京市石景山区。</w:t>
      </w:r>
    </w:p>
    <w:p w:rsidR="00000000" w:rsidRDefault="000407FB">
      <w:pPr>
        <w:spacing w:line="500" w:lineRule="atLeast"/>
        <w:ind w:firstLine="600"/>
        <w:divId w:val="1077433121"/>
        <w:rPr>
          <w:rFonts w:hint="eastAsia"/>
          <w:sz w:val="30"/>
          <w:szCs w:val="30"/>
        </w:rPr>
      </w:pPr>
      <w:r>
        <w:rPr>
          <w:rFonts w:hint="eastAsia"/>
          <w:sz w:val="30"/>
          <w:szCs w:val="30"/>
        </w:rPr>
        <w:t>被申请人（一审被告、二审上诉人）：北京大学首钢医院，住所地北京市石景山区晋元庄路</w:t>
      </w:r>
      <w:r>
        <w:rPr>
          <w:rFonts w:hint="eastAsia"/>
          <w:sz w:val="30"/>
          <w:szCs w:val="30"/>
        </w:rPr>
        <w:t>9</w:t>
      </w:r>
      <w:r>
        <w:rPr>
          <w:rFonts w:hint="eastAsia"/>
          <w:sz w:val="30"/>
          <w:szCs w:val="30"/>
        </w:rPr>
        <w:t>号。</w:t>
      </w:r>
    </w:p>
    <w:p w:rsidR="00000000" w:rsidRDefault="000407FB">
      <w:pPr>
        <w:spacing w:line="500" w:lineRule="atLeast"/>
        <w:ind w:firstLine="600"/>
        <w:divId w:val="764812188"/>
        <w:rPr>
          <w:rFonts w:hint="eastAsia"/>
          <w:sz w:val="30"/>
          <w:szCs w:val="30"/>
        </w:rPr>
      </w:pPr>
      <w:r>
        <w:rPr>
          <w:rFonts w:hint="eastAsia"/>
          <w:sz w:val="30"/>
          <w:szCs w:val="30"/>
        </w:rPr>
        <w:t>法定代表人：顾晋，院长。</w:t>
      </w:r>
    </w:p>
    <w:p w:rsidR="00000000" w:rsidRDefault="000407FB">
      <w:pPr>
        <w:spacing w:line="500" w:lineRule="atLeast"/>
        <w:ind w:firstLine="600"/>
        <w:divId w:val="966937006"/>
        <w:rPr>
          <w:rFonts w:hint="eastAsia"/>
          <w:sz w:val="30"/>
          <w:szCs w:val="30"/>
        </w:rPr>
      </w:pPr>
      <w:r>
        <w:rPr>
          <w:rFonts w:hint="eastAsia"/>
          <w:sz w:val="30"/>
          <w:szCs w:val="30"/>
        </w:rPr>
        <w:t>委托诉讼代理人：任峰，男，该单位工作人员。</w:t>
      </w:r>
    </w:p>
    <w:p w:rsidR="00000000" w:rsidRDefault="000407FB">
      <w:pPr>
        <w:spacing w:line="500" w:lineRule="atLeast"/>
        <w:ind w:firstLine="600"/>
        <w:divId w:val="816802710"/>
        <w:rPr>
          <w:rFonts w:hint="eastAsia"/>
          <w:sz w:val="30"/>
          <w:szCs w:val="30"/>
        </w:rPr>
      </w:pPr>
      <w:r>
        <w:rPr>
          <w:rFonts w:hint="eastAsia"/>
          <w:sz w:val="30"/>
          <w:szCs w:val="30"/>
        </w:rPr>
        <w:t>委托诉讼代理人：陈利进，北京市华卫律师事务所律师。</w:t>
      </w:r>
    </w:p>
    <w:p w:rsidR="00000000" w:rsidRDefault="000407FB">
      <w:pPr>
        <w:spacing w:line="500" w:lineRule="atLeast"/>
        <w:ind w:firstLine="600"/>
        <w:divId w:val="2046519383"/>
        <w:rPr>
          <w:rFonts w:hint="eastAsia"/>
          <w:sz w:val="30"/>
          <w:szCs w:val="30"/>
        </w:rPr>
      </w:pPr>
      <w:r>
        <w:rPr>
          <w:rFonts w:hint="eastAsia"/>
          <w:sz w:val="30"/>
          <w:szCs w:val="30"/>
        </w:rPr>
        <w:t>再审申请人王春燕、刘北军因与被申请人北京大学首钢医院医疗损害责任纠纷一案，不服北京市第一中级人民法院（</w:t>
      </w:r>
      <w:r>
        <w:rPr>
          <w:rFonts w:hint="eastAsia"/>
          <w:sz w:val="30"/>
          <w:szCs w:val="30"/>
        </w:rPr>
        <w:t>2020</w:t>
      </w:r>
      <w:r>
        <w:rPr>
          <w:rFonts w:hint="eastAsia"/>
          <w:sz w:val="30"/>
          <w:szCs w:val="30"/>
        </w:rPr>
        <w:t>）京</w:t>
      </w:r>
      <w:r>
        <w:rPr>
          <w:rFonts w:hint="eastAsia"/>
          <w:sz w:val="30"/>
          <w:szCs w:val="30"/>
        </w:rPr>
        <w:t>01</w:t>
      </w:r>
      <w:r>
        <w:rPr>
          <w:rFonts w:hint="eastAsia"/>
          <w:sz w:val="30"/>
          <w:szCs w:val="30"/>
        </w:rPr>
        <w:t>民终</w:t>
      </w:r>
      <w:r>
        <w:rPr>
          <w:rFonts w:hint="eastAsia"/>
          <w:sz w:val="30"/>
          <w:szCs w:val="30"/>
        </w:rPr>
        <w:t>7111</w:t>
      </w:r>
      <w:r>
        <w:rPr>
          <w:rFonts w:hint="eastAsia"/>
          <w:sz w:val="30"/>
          <w:szCs w:val="30"/>
        </w:rPr>
        <w:t>号民事判决，向本院申请再审。本院依法组成合议庭进行了审查，现已审查终结。</w:t>
      </w:r>
    </w:p>
    <w:p w:rsidR="00000000" w:rsidRDefault="000407FB">
      <w:pPr>
        <w:spacing w:line="500" w:lineRule="atLeast"/>
        <w:ind w:firstLine="600"/>
        <w:divId w:val="1979409836"/>
        <w:rPr>
          <w:rFonts w:hint="eastAsia"/>
          <w:sz w:val="30"/>
          <w:szCs w:val="30"/>
        </w:rPr>
      </w:pPr>
      <w:r>
        <w:rPr>
          <w:rFonts w:hint="eastAsia"/>
          <w:sz w:val="30"/>
          <w:szCs w:val="30"/>
        </w:rPr>
        <w:t>王春燕、刘北军申请再审称，其申请再审事由符合《中华人民共和国民事诉讼法》第二百条第三项、第四项、第五项、第六项、第七项、第九项、第十一项规定的应当再审的法定情形。其申请再审请求是：</w:t>
      </w:r>
      <w:r>
        <w:rPr>
          <w:rFonts w:hint="eastAsia"/>
          <w:sz w:val="30"/>
          <w:szCs w:val="30"/>
        </w:rPr>
        <w:t>1.</w:t>
      </w:r>
      <w:r>
        <w:rPr>
          <w:rFonts w:hint="eastAsia"/>
          <w:sz w:val="30"/>
          <w:szCs w:val="30"/>
        </w:rPr>
        <w:t>撤销本案一、二审民事判决，重新审理，公正判决；</w:t>
      </w:r>
      <w:r>
        <w:rPr>
          <w:rFonts w:hint="eastAsia"/>
          <w:sz w:val="30"/>
          <w:szCs w:val="30"/>
        </w:rPr>
        <w:t>2.</w:t>
      </w:r>
      <w:r>
        <w:rPr>
          <w:rFonts w:hint="eastAsia"/>
          <w:sz w:val="30"/>
          <w:szCs w:val="30"/>
        </w:rPr>
        <w:t>判令被申请人承担本案全部诉讼费用。其申请再审的事实与理由为：一、审判程序违</w:t>
      </w:r>
      <w:r>
        <w:rPr>
          <w:rFonts w:hint="eastAsia"/>
          <w:sz w:val="30"/>
          <w:szCs w:val="30"/>
        </w:rPr>
        <w:t>法部分。</w:t>
      </w:r>
      <w:r>
        <w:rPr>
          <w:rFonts w:hint="eastAsia"/>
          <w:sz w:val="30"/>
          <w:szCs w:val="30"/>
        </w:rPr>
        <w:t>1.</w:t>
      </w:r>
      <w:r>
        <w:rPr>
          <w:rFonts w:hint="eastAsia"/>
          <w:sz w:val="30"/>
          <w:szCs w:val="30"/>
        </w:rPr>
        <w:t>对病历副本的真实、合法、完整提出异议是其诉权，法院不得违法予以剥夺，但一、二审法院违法剥夺了其诉权，即禁止其对病历副本和司法鉴定意见书存在鉴定程序违法及检材法定依据明显不足并存在检材中两家医院的病历中由被申请人接生医师刘恒书写截然相反脐带结论之造假行为行使诉权。</w:t>
      </w:r>
      <w:r>
        <w:rPr>
          <w:rFonts w:hint="eastAsia"/>
          <w:sz w:val="30"/>
          <w:szCs w:val="30"/>
        </w:rPr>
        <w:t>2.</w:t>
      </w:r>
      <w:r>
        <w:rPr>
          <w:rFonts w:hint="eastAsia"/>
          <w:sz w:val="30"/>
          <w:szCs w:val="30"/>
        </w:rPr>
        <w:t>被申请人举证</w:t>
      </w:r>
      <w:r>
        <w:rPr>
          <w:rFonts w:hint="eastAsia"/>
          <w:sz w:val="30"/>
          <w:szCs w:val="30"/>
        </w:rPr>
        <w:lastRenderedPageBreak/>
        <w:t>第</w:t>
      </w:r>
      <w:r>
        <w:rPr>
          <w:rFonts w:hint="eastAsia"/>
          <w:sz w:val="30"/>
          <w:szCs w:val="30"/>
        </w:rPr>
        <w:t>3</w:t>
      </w:r>
      <w:r>
        <w:rPr>
          <w:rFonts w:hint="eastAsia"/>
          <w:sz w:val="30"/>
          <w:szCs w:val="30"/>
        </w:rPr>
        <w:t>次住院病历仅在法官、被申请人之间流转，未依责核对并当庭还给被申请人，违反民事诉讼法第</w:t>
      </w:r>
      <w:r>
        <w:rPr>
          <w:rFonts w:hint="eastAsia"/>
          <w:sz w:val="30"/>
          <w:szCs w:val="30"/>
        </w:rPr>
        <w:t>66</w:t>
      </w:r>
      <w:r>
        <w:rPr>
          <w:rFonts w:hint="eastAsia"/>
          <w:sz w:val="30"/>
          <w:szCs w:val="30"/>
        </w:rPr>
        <w:t>条、第</w:t>
      </w:r>
      <w:r>
        <w:rPr>
          <w:rFonts w:hint="eastAsia"/>
          <w:sz w:val="30"/>
          <w:szCs w:val="30"/>
        </w:rPr>
        <w:t>70</w:t>
      </w:r>
      <w:r>
        <w:rPr>
          <w:rFonts w:hint="eastAsia"/>
          <w:sz w:val="30"/>
          <w:szCs w:val="30"/>
        </w:rPr>
        <w:t>条规定，而笔录记载原件退还再审申请人，一审拒不提供庭审视频核对。</w:t>
      </w:r>
      <w:r>
        <w:rPr>
          <w:rFonts w:hint="eastAsia"/>
          <w:sz w:val="30"/>
          <w:szCs w:val="30"/>
        </w:rPr>
        <w:t>3.2019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日书面告知因再审申请人律师与被申请</w:t>
      </w:r>
      <w:r>
        <w:rPr>
          <w:rFonts w:hint="eastAsia"/>
          <w:sz w:val="30"/>
          <w:szCs w:val="30"/>
        </w:rPr>
        <w:t>人恶意串通欺诈，致使被申请人举证证据内容向委托人隐匿。</w:t>
      </w:r>
      <w:r>
        <w:rPr>
          <w:rFonts w:hint="eastAsia"/>
          <w:sz w:val="30"/>
          <w:szCs w:val="30"/>
        </w:rPr>
        <w:t>4.2019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日笔录违反民事诉讼法第</w:t>
      </w:r>
      <w:r>
        <w:rPr>
          <w:rFonts w:hint="eastAsia"/>
          <w:sz w:val="30"/>
          <w:szCs w:val="30"/>
        </w:rPr>
        <w:t>147</w:t>
      </w:r>
      <w:r>
        <w:rPr>
          <w:rFonts w:hint="eastAsia"/>
          <w:sz w:val="30"/>
          <w:szCs w:val="30"/>
        </w:rPr>
        <w:t>条法官庭审承诺被申请人提供不出缺失内容判其全责未记录且合议庭签字无，依据病历书写基本规范、医疗事故处理条例隐匿门诊、第一、二次住院病历三项法定内容已能推定免证事实即依民法典第</w:t>
      </w:r>
      <w:r>
        <w:rPr>
          <w:rFonts w:hint="eastAsia"/>
          <w:sz w:val="30"/>
          <w:szCs w:val="30"/>
        </w:rPr>
        <w:t>1222</w:t>
      </w:r>
      <w:r>
        <w:rPr>
          <w:rFonts w:hint="eastAsia"/>
          <w:sz w:val="30"/>
          <w:szCs w:val="30"/>
        </w:rPr>
        <w:t>条（二）的隐匿病历行为。</w:t>
      </w:r>
      <w:r>
        <w:rPr>
          <w:rFonts w:hint="eastAsia"/>
          <w:sz w:val="30"/>
          <w:szCs w:val="30"/>
        </w:rPr>
        <w:t>5.</w:t>
      </w:r>
      <w:r>
        <w:rPr>
          <w:rFonts w:hint="eastAsia"/>
          <w:sz w:val="30"/>
          <w:szCs w:val="30"/>
        </w:rPr>
        <w:t>再审申请人律师违反律师法规定向委托人隐瞒真相并参与恶意欺骗行为，未向其提供法律服务，反而欺骗由委托人承担鉴定举证义务申请且未发表任何代理质证意见，导致其鉴定前无基本诉权，但法院未依据证据规则认定被申</w:t>
      </w:r>
      <w:r>
        <w:rPr>
          <w:rFonts w:hint="eastAsia"/>
          <w:sz w:val="30"/>
          <w:szCs w:val="30"/>
        </w:rPr>
        <w:t>请人存在封存病历隐匿病历行为、提交与原件不符的欺诈行为以及恶意串通妨碍司法行为。</w:t>
      </w:r>
      <w:r>
        <w:rPr>
          <w:rFonts w:hint="eastAsia"/>
          <w:sz w:val="30"/>
          <w:szCs w:val="30"/>
        </w:rPr>
        <w:t>6.</w:t>
      </w:r>
      <w:r>
        <w:rPr>
          <w:rFonts w:hint="eastAsia"/>
          <w:sz w:val="30"/>
          <w:szCs w:val="30"/>
        </w:rPr>
        <w:t>二审未依据规定对庭审活动进行全程录像或录音，因其无法核实庭审视频，而随意改变鉴定前谈话笔录既定证据效力，判决所载的再审申请人对胎心监护图拍照以掩饰原件未出现在核对副本时并与副本证据不符而产生的虚假鉴定意见被剥夺权利的程序违法事实。</w:t>
      </w:r>
      <w:r>
        <w:rPr>
          <w:rFonts w:hint="eastAsia"/>
          <w:sz w:val="30"/>
          <w:szCs w:val="30"/>
        </w:rPr>
        <w:t>7.</w:t>
      </w:r>
      <w:r>
        <w:rPr>
          <w:rFonts w:hint="eastAsia"/>
          <w:sz w:val="30"/>
          <w:szCs w:val="30"/>
        </w:rPr>
        <w:t>被申请人违反全国人大常委会颁发的《执业医师法》等相关规定，应当对高危产妇最低诊疗级别为主治医师，但本案最高诊疗级别仅为住院医师职级资质，且因再审申请人律师欺骗而未用于鉴定检材的应由被申请人书写部</w:t>
      </w:r>
      <w:r>
        <w:rPr>
          <w:rFonts w:hint="eastAsia"/>
          <w:sz w:val="30"/>
          <w:szCs w:val="30"/>
        </w:rPr>
        <w:t>分整体空白的《北京市孕产妇保健档案》，就是因为门急诊医师仅有住院医师职级资质而导致门诊病历载体被刻意忽略。</w:t>
      </w:r>
      <w:r>
        <w:rPr>
          <w:rFonts w:hint="eastAsia"/>
          <w:sz w:val="30"/>
          <w:szCs w:val="30"/>
        </w:rPr>
        <w:t>8.</w:t>
      </w:r>
      <w:r>
        <w:rPr>
          <w:rFonts w:hint="eastAsia"/>
          <w:sz w:val="30"/>
          <w:szCs w:val="30"/>
        </w:rPr>
        <w:t>鉴定机构对再审申请人鉴定检材审查仅有</w:t>
      </w:r>
      <w:r>
        <w:rPr>
          <w:rFonts w:hint="eastAsia"/>
          <w:sz w:val="30"/>
          <w:szCs w:val="30"/>
        </w:rPr>
        <w:t>4</w:t>
      </w:r>
      <w:r>
        <w:rPr>
          <w:rFonts w:hint="eastAsia"/>
          <w:sz w:val="30"/>
          <w:szCs w:val="30"/>
        </w:rPr>
        <w:t>个字：文证审查，未遵守《司法鉴定程序通则》规范，依据国家卫建委规范医疗损害鉴定坚持同行</w:t>
      </w:r>
      <w:r>
        <w:rPr>
          <w:rFonts w:hint="eastAsia"/>
          <w:sz w:val="30"/>
          <w:szCs w:val="30"/>
        </w:rPr>
        <w:lastRenderedPageBreak/>
        <w:t>评议原则，鉴定人未提供其具备妇产临床医师资质证书且无专家会议纪要，二审阅卷后申请调取案卷但拒绝调取。</w:t>
      </w:r>
      <w:r>
        <w:rPr>
          <w:rFonts w:hint="eastAsia"/>
          <w:sz w:val="30"/>
          <w:szCs w:val="30"/>
        </w:rPr>
        <w:t>9.</w:t>
      </w:r>
      <w:r>
        <w:rPr>
          <w:rFonts w:hint="eastAsia"/>
          <w:sz w:val="30"/>
          <w:szCs w:val="30"/>
        </w:rPr>
        <w:t>再审申请人先后提交了</w:t>
      </w:r>
      <w:r>
        <w:rPr>
          <w:rFonts w:hint="eastAsia"/>
          <w:sz w:val="30"/>
          <w:szCs w:val="30"/>
        </w:rPr>
        <w:t>3</w:t>
      </w:r>
      <w:r>
        <w:rPr>
          <w:rFonts w:hint="eastAsia"/>
          <w:sz w:val="30"/>
          <w:szCs w:val="30"/>
        </w:rPr>
        <w:t>次若干条质询意见，其仅收到了一次质询答复，另两次鉴定质询书至今未发给鉴定机构，双方均对答复异议时庭审违反证据规定第</w:t>
      </w:r>
      <w:r>
        <w:rPr>
          <w:rFonts w:hint="eastAsia"/>
          <w:sz w:val="30"/>
          <w:szCs w:val="30"/>
        </w:rPr>
        <w:t>38</w:t>
      </w:r>
      <w:r>
        <w:rPr>
          <w:rFonts w:hint="eastAsia"/>
          <w:sz w:val="30"/>
          <w:szCs w:val="30"/>
        </w:rPr>
        <w:t>条。</w:t>
      </w:r>
      <w:r>
        <w:rPr>
          <w:rFonts w:hint="eastAsia"/>
          <w:sz w:val="30"/>
          <w:szCs w:val="30"/>
        </w:rPr>
        <w:t>10.</w:t>
      </w:r>
      <w:r>
        <w:rPr>
          <w:rFonts w:hint="eastAsia"/>
          <w:sz w:val="30"/>
          <w:szCs w:val="30"/>
        </w:rPr>
        <w:t>再审申请人王春燕已向二审</w:t>
      </w:r>
      <w:r>
        <w:rPr>
          <w:rFonts w:hint="eastAsia"/>
          <w:sz w:val="30"/>
          <w:szCs w:val="30"/>
        </w:rPr>
        <w:t>声明对一审解除代理权后未释明新诉权的庭审活动不予承认。</w:t>
      </w:r>
      <w:r>
        <w:rPr>
          <w:rFonts w:hint="eastAsia"/>
          <w:sz w:val="30"/>
          <w:szCs w:val="30"/>
        </w:rPr>
        <w:t>11.</w:t>
      </w:r>
      <w:r>
        <w:rPr>
          <w:rFonts w:hint="eastAsia"/>
          <w:sz w:val="30"/>
          <w:szCs w:val="30"/>
        </w:rPr>
        <w:t>封存的第</w:t>
      </w:r>
      <w:r>
        <w:rPr>
          <w:rFonts w:hint="eastAsia"/>
          <w:sz w:val="30"/>
          <w:szCs w:val="30"/>
        </w:rPr>
        <w:t>3</w:t>
      </w:r>
      <w:r>
        <w:rPr>
          <w:rFonts w:hint="eastAsia"/>
          <w:sz w:val="30"/>
          <w:szCs w:val="30"/>
        </w:rPr>
        <w:t>次住院病历副本不知何时已被掉包，导致再审申请人立案提交的病历副本与封存病历中客观病历副本不符，并在</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开庭时已指证给合议庭，但未如实记录。二、因欺诈增加诉请追究鉴定人和再审申请人委托诉讼律师妨害司法行为，一、二审拒不受理，拒收证据。鉴定人违反告知义务而强出鉴定意见，二审开庭后其向法庭出示市司法局提供的鉴定机构《司法鉴定案卷》但法庭强行不允许再审申请人就此部分发言记入笔录，其被迫庭后窗口补充告知。因再审申请人委托诉讼代理律师</w:t>
      </w:r>
      <w:r>
        <w:rPr>
          <w:rFonts w:hint="eastAsia"/>
          <w:sz w:val="30"/>
          <w:szCs w:val="30"/>
        </w:rPr>
        <w:t>不诚实信用应当排除其损害诉权行为的欺诈行为，但一、二审法院未予认定。三、医疗损害责任纠纷案件中的病历属于民事诉讼证据中的书证，不仅要符合民事诉讼证据“三性”的规定，还需要完整充分，但判决拒不依据现行法律、法规、规章的相关规定对病历副本的真实性进行审查。并拒绝对病历书写医务人员资质进行调查，以掩盖鉴定意见书所依据的鉴定检材存在书写人员资质不合法，不能作为证据使用之事实。四、适用法律错误。</w:t>
      </w:r>
      <w:r>
        <w:rPr>
          <w:rFonts w:hint="eastAsia"/>
          <w:sz w:val="30"/>
          <w:szCs w:val="30"/>
        </w:rPr>
        <w:t>1.</w:t>
      </w:r>
      <w:r>
        <w:rPr>
          <w:rFonts w:hint="eastAsia"/>
          <w:sz w:val="30"/>
          <w:szCs w:val="30"/>
        </w:rPr>
        <w:t>分娩日住院病历存在违反《病历书写基本规范》的条款内容，但禁止辩论。</w:t>
      </w:r>
      <w:r>
        <w:rPr>
          <w:rFonts w:hint="eastAsia"/>
          <w:sz w:val="30"/>
          <w:szCs w:val="30"/>
        </w:rPr>
        <w:t>2.</w:t>
      </w:r>
      <w:r>
        <w:rPr>
          <w:rFonts w:hint="eastAsia"/>
          <w:sz w:val="30"/>
          <w:szCs w:val="30"/>
        </w:rPr>
        <w:t>被申请人未依据《医疗纠纷预防和处理条例》规定补记抢</w:t>
      </w:r>
      <w:r>
        <w:rPr>
          <w:rFonts w:hint="eastAsia"/>
          <w:sz w:val="30"/>
          <w:szCs w:val="30"/>
        </w:rPr>
        <w:t>救病历造成再审申请人之子死亡的严重后果发生，未依法引用民法典第</w:t>
      </w:r>
      <w:r>
        <w:rPr>
          <w:rFonts w:hint="eastAsia"/>
          <w:sz w:val="30"/>
          <w:szCs w:val="30"/>
        </w:rPr>
        <w:t>1222</w:t>
      </w:r>
      <w:r>
        <w:rPr>
          <w:rFonts w:hint="eastAsia"/>
          <w:sz w:val="30"/>
          <w:szCs w:val="30"/>
        </w:rPr>
        <w:t>条规定适用法律处理错误。</w:t>
      </w:r>
      <w:r>
        <w:rPr>
          <w:rFonts w:hint="eastAsia"/>
          <w:sz w:val="30"/>
          <w:szCs w:val="30"/>
        </w:rPr>
        <w:t>3.</w:t>
      </w:r>
      <w:r>
        <w:rPr>
          <w:rFonts w:hint="eastAsia"/>
          <w:sz w:val="30"/>
          <w:szCs w:val="30"/>
        </w:rPr>
        <w:t>依据类案同判意见，再审申请人一、二审时均提交了相关案件如（</w:t>
      </w:r>
      <w:r>
        <w:rPr>
          <w:rFonts w:hint="eastAsia"/>
          <w:sz w:val="30"/>
          <w:szCs w:val="30"/>
        </w:rPr>
        <w:t>2016</w:t>
      </w:r>
      <w:r>
        <w:rPr>
          <w:rFonts w:hint="eastAsia"/>
          <w:sz w:val="30"/>
          <w:szCs w:val="30"/>
        </w:rPr>
        <w:t>）最高法民再</w:t>
      </w:r>
      <w:r>
        <w:rPr>
          <w:rFonts w:hint="eastAsia"/>
          <w:sz w:val="30"/>
          <w:szCs w:val="30"/>
        </w:rPr>
        <w:t>285</w:t>
      </w:r>
      <w:r>
        <w:rPr>
          <w:rFonts w:hint="eastAsia"/>
          <w:sz w:val="30"/>
          <w:szCs w:val="30"/>
        </w:rPr>
        <w:t>号和（</w:t>
      </w:r>
      <w:r>
        <w:rPr>
          <w:rFonts w:hint="eastAsia"/>
          <w:sz w:val="30"/>
          <w:szCs w:val="30"/>
        </w:rPr>
        <w:t>2018</w:t>
      </w:r>
      <w:r>
        <w:rPr>
          <w:rFonts w:hint="eastAsia"/>
          <w:sz w:val="30"/>
          <w:szCs w:val="30"/>
        </w:rPr>
        <w:t>）闽民再</w:t>
      </w:r>
      <w:r>
        <w:rPr>
          <w:rFonts w:hint="eastAsia"/>
          <w:sz w:val="30"/>
          <w:szCs w:val="30"/>
        </w:rPr>
        <w:t>128</w:t>
      </w:r>
      <w:r>
        <w:rPr>
          <w:rFonts w:hint="eastAsia"/>
          <w:sz w:val="30"/>
          <w:szCs w:val="30"/>
        </w:rPr>
        <w:t>号判例，但本案一、二审判决缺失公心，用伪造的脐带病理特征认定的医院负次要责任的非法证据基础上再酌情增加责任比例，如此判决要法律规范何用。综上，被申请人应当承担</w:t>
      </w:r>
      <w:r>
        <w:rPr>
          <w:rFonts w:hint="eastAsia"/>
          <w:sz w:val="30"/>
          <w:szCs w:val="30"/>
        </w:rPr>
        <w:t>100%</w:t>
      </w:r>
      <w:r>
        <w:rPr>
          <w:rFonts w:hint="eastAsia"/>
          <w:sz w:val="30"/>
          <w:szCs w:val="30"/>
        </w:rPr>
        <w:t>的过错赔偿责任，但一、二审判决被申请人承担</w:t>
      </w:r>
      <w:r>
        <w:rPr>
          <w:rFonts w:hint="eastAsia"/>
          <w:sz w:val="30"/>
          <w:szCs w:val="30"/>
        </w:rPr>
        <w:t>48%</w:t>
      </w:r>
      <w:r>
        <w:rPr>
          <w:rFonts w:hint="eastAsia"/>
          <w:sz w:val="30"/>
          <w:szCs w:val="30"/>
        </w:rPr>
        <w:t>的过错赔偿责任错误，未能依法保护其合法权益，本案依法应予再审纠正。</w:t>
      </w:r>
    </w:p>
    <w:p w:rsidR="00000000" w:rsidRDefault="000407FB">
      <w:pPr>
        <w:spacing w:line="500" w:lineRule="atLeast"/>
        <w:ind w:firstLine="600"/>
        <w:divId w:val="415709661"/>
        <w:rPr>
          <w:rFonts w:hint="eastAsia"/>
          <w:sz w:val="30"/>
          <w:szCs w:val="30"/>
        </w:rPr>
      </w:pPr>
      <w:r>
        <w:rPr>
          <w:rFonts w:hint="eastAsia"/>
          <w:sz w:val="30"/>
          <w:szCs w:val="30"/>
        </w:rPr>
        <w:t>北京大学首钢医院答辩</w:t>
      </w:r>
      <w:r>
        <w:rPr>
          <w:rFonts w:hint="eastAsia"/>
          <w:sz w:val="30"/>
          <w:szCs w:val="30"/>
        </w:rPr>
        <w:t>意见称，本案二审判决认定事实清楚，适用法律正确。再审申请人提出的申请再审理由没有事实依据，请求法院依法驳回再审申请人的再审申请。</w:t>
      </w:r>
    </w:p>
    <w:p w:rsidR="00000000" w:rsidRDefault="000407FB">
      <w:pPr>
        <w:spacing w:line="500" w:lineRule="atLeast"/>
        <w:ind w:firstLine="600"/>
        <w:divId w:val="1560942580"/>
        <w:rPr>
          <w:rFonts w:hint="eastAsia"/>
          <w:sz w:val="30"/>
          <w:szCs w:val="30"/>
        </w:rPr>
      </w:pPr>
      <w:r>
        <w:rPr>
          <w:rFonts w:hint="eastAsia"/>
          <w:sz w:val="30"/>
          <w:szCs w:val="30"/>
        </w:rPr>
        <w:t>本院经审查查明，再审申请人向一审法院起诉请求：一、依法判决被申请人赔偿其医疗费</w:t>
      </w:r>
      <w:r>
        <w:rPr>
          <w:rFonts w:hint="eastAsia"/>
          <w:sz w:val="30"/>
          <w:szCs w:val="30"/>
        </w:rPr>
        <w:t>54179.3</w:t>
      </w:r>
      <w:r>
        <w:rPr>
          <w:rFonts w:hint="eastAsia"/>
          <w:sz w:val="30"/>
          <w:szCs w:val="30"/>
        </w:rPr>
        <w:t>元、护理费</w:t>
      </w:r>
      <w:r>
        <w:rPr>
          <w:rFonts w:hint="eastAsia"/>
          <w:sz w:val="30"/>
          <w:szCs w:val="30"/>
        </w:rPr>
        <w:t>3942</w:t>
      </w:r>
      <w:r>
        <w:rPr>
          <w:rFonts w:hint="eastAsia"/>
          <w:sz w:val="30"/>
          <w:szCs w:val="30"/>
        </w:rPr>
        <w:t>元、交通费</w:t>
      </w:r>
      <w:r>
        <w:rPr>
          <w:rFonts w:hint="eastAsia"/>
          <w:sz w:val="30"/>
          <w:szCs w:val="30"/>
        </w:rPr>
        <w:t>1000</w:t>
      </w:r>
      <w:r>
        <w:rPr>
          <w:rFonts w:hint="eastAsia"/>
          <w:sz w:val="30"/>
          <w:szCs w:val="30"/>
        </w:rPr>
        <w:t>元、住院伙食费补助费</w:t>
      </w:r>
      <w:r>
        <w:rPr>
          <w:rFonts w:hint="eastAsia"/>
          <w:sz w:val="30"/>
          <w:szCs w:val="30"/>
        </w:rPr>
        <w:t>1700</w:t>
      </w:r>
      <w:r>
        <w:rPr>
          <w:rFonts w:hint="eastAsia"/>
          <w:sz w:val="30"/>
          <w:szCs w:val="30"/>
        </w:rPr>
        <w:t>元、病例复印费</w:t>
      </w:r>
      <w:r>
        <w:rPr>
          <w:rFonts w:hint="eastAsia"/>
          <w:sz w:val="30"/>
          <w:szCs w:val="30"/>
        </w:rPr>
        <w:t>404.8</w:t>
      </w:r>
      <w:r>
        <w:rPr>
          <w:rFonts w:hint="eastAsia"/>
          <w:sz w:val="30"/>
          <w:szCs w:val="30"/>
        </w:rPr>
        <w:t>元、婴儿用品费</w:t>
      </w:r>
      <w:r>
        <w:rPr>
          <w:rFonts w:hint="eastAsia"/>
          <w:sz w:val="30"/>
          <w:szCs w:val="30"/>
        </w:rPr>
        <w:t>1350</w:t>
      </w:r>
      <w:r>
        <w:rPr>
          <w:rFonts w:hint="eastAsia"/>
          <w:sz w:val="30"/>
          <w:szCs w:val="30"/>
        </w:rPr>
        <w:t>元、产妇分娩时用品费</w:t>
      </w:r>
      <w:r>
        <w:rPr>
          <w:rFonts w:hint="eastAsia"/>
          <w:sz w:val="30"/>
          <w:szCs w:val="30"/>
        </w:rPr>
        <w:t>232</w:t>
      </w:r>
      <w:r>
        <w:rPr>
          <w:rFonts w:hint="eastAsia"/>
          <w:sz w:val="30"/>
          <w:szCs w:val="30"/>
        </w:rPr>
        <w:t>元、邮寄费</w:t>
      </w:r>
      <w:r>
        <w:rPr>
          <w:rFonts w:hint="eastAsia"/>
          <w:sz w:val="30"/>
          <w:szCs w:val="30"/>
        </w:rPr>
        <w:t>13</w:t>
      </w:r>
      <w:r>
        <w:rPr>
          <w:rFonts w:hint="eastAsia"/>
          <w:sz w:val="30"/>
          <w:szCs w:val="30"/>
        </w:rPr>
        <w:t>元、诉讼费</w:t>
      </w:r>
      <w:r>
        <w:rPr>
          <w:rFonts w:hint="eastAsia"/>
          <w:sz w:val="30"/>
          <w:szCs w:val="30"/>
        </w:rPr>
        <w:t>535</w:t>
      </w:r>
      <w:r>
        <w:rPr>
          <w:rFonts w:hint="eastAsia"/>
          <w:sz w:val="30"/>
          <w:szCs w:val="30"/>
        </w:rPr>
        <w:t>元、丧葬费及亲属误工费</w:t>
      </w:r>
      <w:r>
        <w:rPr>
          <w:rFonts w:hint="eastAsia"/>
          <w:sz w:val="30"/>
          <w:szCs w:val="30"/>
        </w:rPr>
        <w:t>88202.5</w:t>
      </w:r>
      <w:r>
        <w:rPr>
          <w:rFonts w:hint="eastAsia"/>
          <w:sz w:val="30"/>
          <w:szCs w:val="30"/>
        </w:rPr>
        <w:t>元、死亡赔偿金</w:t>
      </w:r>
      <w:r>
        <w:rPr>
          <w:rFonts w:hint="eastAsia"/>
          <w:sz w:val="30"/>
          <w:szCs w:val="30"/>
        </w:rPr>
        <w:t>1476980</w:t>
      </w:r>
      <w:r>
        <w:rPr>
          <w:rFonts w:hint="eastAsia"/>
          <w:sz w:val="30"/>
          <w:szCs w:val="30"/>
        </w:rPr>
        <w:t>元，按</w:t>
      </w:r>
      <w:r>
        <w:rPr>
          <w:rFonts w:hint="eastAsia"/>
          <w:sz w:val="30"/>
          <w:szCs w:val="30"/>
        </w:rPr>
        <w:t>100%</w:t>
      </w:r>
      <w:r>
        <w:rPr>
          <w:rFonts w:hint="eastAsia"/>
          <w:sz w:val="30"/>
          <w:szCs w:val="30"/>
        </w:rPr>
        <w:t>责任比例请求，共计</w:t>
      </w:r>
      <w:r>
        <w:rPr>
          <w:rFonts w:hint="eastAsia"/>
          <w:sz w:val="30"/>
          <w:szCs w:val="30"/>
        </w:rPr>
        <w:t>1628538.6</w:t>
      </w:r>
      <w:r>
        <w:rPr>
          <w:rFonts w:hint="eastAsia"/>
          <w:sz w:val="30"/>
          <w:szCs w:val="30"/>
        </w:rPr>
        <w:t>元，精神损</w:t>
      </w:r>
      <w:r>
        <w:rPr>
          <w:rFonts w:hint="eastAsia"/>
          <w:sz w:val="30"/>
          <w:szCs w:val="30"/>
        </w:rPr>
        <w:t>害抚慰金</w:t>
      </w:r>
      <w:r>
        <w:rPr>
          <w:rFonts w:hint="eastAsia"/>
          <w:sz w:val="30"/>
          <w:szCs w:val="30"/>
        </w:rPr>
        <w:t>274284.8</w:t>
      </w:r>
      <w:r>
        <w:rPr>
          <w:rFonts w:hint="eastAsia"/>
          <w:sz w:val="30"/>
          <w:szCs w:val="30"/>
        </w:rPr>
        <w:t>元，共计</w:t>
      </w:r>
      <w:r>
        <w:rPr>
          <w:rFonts w:hint="eastAsia"/>
          <w:sz w:val="30"/>
          <w:szCs w:val="30"/>
        </w:rPr>
        <w:t>1902823.4</w:t>
      </w:r>
      <w:r>
        <w:rPr>
          <w:rFonts w:hint="eastAsia"/>
          <w:sz w:val="30"/>
          <w:szCs w:val="30"/>
        </w:rPr>
        <w:t>元；二、请求赔偿本案鉴定费用</w:t>
      </w:r>
      <w:r>
        <w:rPr>
          <w:rFonts w:hint="eastAsia"/>
          <w:sz w:val="30"/>
          <w:szCs w:val="30"/>
        </w:rPr>
        <w:t>15000</w:t>
      </w:r>
      <w:r>
        <w:rPr>
          <w:rFonts w:hint="eastAsia"/>
          <w:sz w:val="30"/>
          <w:szCs w:val="30"/>
        </w:rPr>
        <w:t>元。</w:t>
      </w:r>
    </w:p>
    <w:p w:rsidR="00000000" w:rsidRDefault="000407FB">
      <w:pPr>
        <w:spacing w:line="500" w:lineRule="atLeast"/>
        <w:ind w:firstLine="600"/>
        <w:divId w:val="2078480530"/>
        <w:rPr>
          <w:rFonts w:hint="eastAsia"/>
          <w:sz w:val="30"/>
          <w:szCs w:val="30"/>
        </w:rPr>
      </w:pPr>
      <w:r>
        <w:rPr>
          <w:rFonts w:hint="eastAsia"/>
          <w:sz w:val="30"/>
          <w:szCs w:val="30"/>
        </w:rPr>
        <w:t>一审法院认定事实：二再审申请人系夫妻关系，刘思铭系二人之子。</w:t>
      </w:r>
    </w:p>
    <w:p w:rsidR="00000000" w:rsidRDefault="000407FB">
      <w:pPr>
        <w:spacing w:line="500" w:lineRule="atLeast"/>
        <w:ind w:firstLine="600"/>
        <w:divId w:val="799374312"/>
        <w:rPr>
          <w:rFonts w:hint="eastAsia"/>
          <w:sz w:val="30"/>
          <w:szCs w:val="30"/>
        </w:rPr>
      </w:pPr>
      <w:r>
        <w:rPr>
          <w:rFonts w:hint="eastAsia"/>
          <w:sz w:val="30"/>
          <w:szCs w:val="30"/>
        </w:rPr>
        <w:t>再审申请人王春燕于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日入住被申请人处，经相关检查后，于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w:t>
      </w:r>
      <w:r>
        <w:rPr>
          <w:rFonts w:hint="eastAsia"/>
          <w:sz w:val="30"/>
          <w:szCs w:val="30"/>
        </w:rPr>
        <w:t>10</w:t>
      </w:r>
      <w:r>
        <w:rPr>
          <w:rFonts w:hint="eastAsia"/>
          <w:sz w:val="30"/>
          <w:szCs w:val="30"/>
        </w:rPr>
        <w:t>时</w:t>
      </w:r>
      <w:r>
        <w:rPr>
          <w:rFonts w:hint="eastAsia"/>
          <w:sz w:val="30"/>
          <w:szCs w:val="30"/>
        </w:rPr>
        <w:t>36</w:t>
      </w:r>
      <w:r>
        <w:rPr>
          <w:rFonts w:hint="eastAsia"/>
          <w:sz w:val="30"/>
          <w:szCs w:val="30"/>
        </w:rPr>
        <w:t>分自然分娩一男婴即二再审申请人之子刘思铭。案外人中国人民解放军陆军总医院八一儿童医院儿科大夫于当日</w:t>
      </w:r>
      <w:r>
        <w:rPr>
          <w:rFonts w:hint="eastAsia"/>
          <w:sz w:val="30"/>
          <w:szCs w:val="30"/>
        </w:rPr>
        <w:t>12</w:t>
      </w:r>
      <w:r>
        <w:rPr>
          <w:rFonts w:hint="eastAsia"/>
          <w:sz w:val="30"/>
          <w:szCs w:val="30"/>
        </w:rPr>
        <w:t>时</w:t>
      </w:r>
      <w:r>
        <w:rPr>
          <w:rFonts w:hint="eastAsia"/>
          <w:sz w:val="30"/>
          <w:szCs w:val="30"/>
        </w:rPr>
        <w:t>20</w:t>
      </w:r>
      <w:r>
        <w:rPr>
          <w:rFonts w:hint="eastAsia"/>
          <w:sz w:val="30"/>
          <w:szCs w:val="30"/>
        </w:rPr>
        <w:t>分到现场接走刘思铭，刘思铭于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w:t>
      </w:r>
      <w:r>
        <w:rPr>
          <w:rFonts w:hint="eastAsia"/>
          <w:sz w:val="30"/>
          <w:szCs w:val="30"/>
        </w:rPr>
        <w:t>15</w:t>
      </w:r>
      <w:r>
        <w:rPr>
          <w:rFonts w:hint="eastAsia"/>
          <w:sz w:val="30"/>
          <w:szCs w:val="30"/>
        </w:rPr>
        <w:t>时</w:t>
      </w:r>
      <w:r>
        <w:rPr>
          <w:rFonts w:hint="eastAsia"/>
          <w:sz w:val="30"/>
          <w:szCs w:val="30"/>
        </w:rPr>
        <w:t>30</w:t>
      </w:r>
      <w:r>
        <w:rPr>
          <w:rFonts w:hint="eastAsia"/>
          <w:sz w:val="30"/>
          <w:szCs w:val="30"/>
        </w:rPr>
        <w:t>分死亡。</w:t>
      </w:r>
    </w:p>
    <w:p w:rsidR="00000000" w:rsidRDefault="000407FB">
      <w:pPr>
        <w:spacing w:line="500" w:lineRule="atLeast"/>
        <w:ind w:firstLine="600"/>
        <w:divId w:val="819343956"/>
        <w:rPr>
          <w:rFonts w:hint="eastAsia"/>
          <w:sz w:val="30"/>
          <w:szCs w:val="30"/>
        </w:rPr>
      </w:pPr>
      <w:r>
        <w:rPr>
          <w:rFonts w:hint="eastAsia"/>
          <w:sz w:val="30"/>
          <w:szCs w:val="30"/>
        </w:rPr>
        <w:t>经双方当事人同意，本案先后两次由一审法院摇号确定鉴定机构。先是</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w:t>
      </w:r>
      <w:r>
        <w:rPr>
          <w:rFonts w:hint="eastAsia"/>
          <w:sz w:val="30"/>
          <w:szCs w:val="30"/>
        </w:rPr>
        <w:t>北京市红十字会急救抢救中心司法鉴定中心出具《不予受理函》，理由为鉴定要求超出本机构技术条件或者鉴定能力的规定，我中心无法完成此鉴定，决定不予受理。后于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日北京中正司法鉴定所出具司法鉴定意见书，鉴定意见为：（一）被申请人在对被鉴定人的诊疗过程中存在以下医疗过错行为：</w:t>
      </w:r>
      <w:r>
        <w:rPr>
          <w:rFonts w:hint="eastAsia"/>
          <w:sz w:val="30"/>
          <w:szCs w:val="30"/>
        </w:rPr>
        <w:t>1.</w:t>
      </w:r>
      <w:r>
        <w:rPr>
          <w:rFonts w:hint="eastAsia"/>
          <w:sz w:val="30"/>
          <w:szCs w:val="30"/>
        </w:rPr>
        <w:t>患者存在早产、妊娠糖尿病、脐带绕颈等高危因素，应加强分娩期的胎儿监测。患者入院前超声检查提示脐带绕颈一周，入院后应复查超声查看脐带绕颈的情况，评估胎儿宫内情况更为谨慎，或可产前发现脐带真结的情况；</w:t>
      </w:r>
      <w:r>
        <w:rPr>
          <w:rFonts w:hint="eastAsia"/>
          <w:sz w:val="30"/>
          <w:szCs w:val="30"/>
        </w:rPr>
        <w:t>2.</w:t>
      </w:r>
      <w:r>
        <w:rPr>
          <w:rFonts w:hint="eastAsia"/>
          <w:sz w:val="30"/>
          <w:szCs w:val="30"/>
        </w:rPr>
        <w:t>未定期做胎心监护可视为医方对</w:t>
      </w:r>
      <w:r>
        <w:rPr>
          <w:rFonts w:hint="eastAsia"/>
          <w:sz w:val="30"/>
          <w:szCs w:val="30"/>
        </w:rPr>
        <w:t>患者高危因素重视不足，未及时发现宫内缺氧存在过错；</w:t>
      </w:r>
      <w:r>
        <w:rPr>
          <w:rFonts w:hint="eastAsia"/>
          <w:sz w:val="30"/>
          <w:szCs w:val="30"/>
        </w:rPr>
        <w:t>3.</w:t>
      </w:r>
      <w:r>
        <w:rPr>
          <w:rFonts w:hint="eastAsia"/>
          <w:sz w:val="30"/>
          <w:szCs w:val="30"/>
        </w:rPr>
        <w:t>对新生儿窒息的风险预估不足、准备不足，在出生时抢救不到位；</w:t>
      </w:r>
      <w:r>
        <w:rPr>
          <w:rFonts w:hint="eastAsia"/>
          <w:sz w:val="30"/>
          <w:szCs w:val="30"/>
        </w:rPr>
        <w:t>4.</w:t>
      </w:r>
      <w:r>
        <w:rPr>
          <w:rFonts w:hint="eastAsia"/>
          <w:sz w:val="30"/>
          <w:szCs w:val="30"/>
        </w:rPr>
        <w:t>从新生儿出生后表现提示近</w:t>
      </w:r>
      <w:r>
        <w:rPr>
          <w:rFonts w:hint="eastAsia"/>
          <w:sz w:val="30"/>
          <w:szCs w:val="30"/>
        </w:rPr>
        <w:t>2</w:t>
      </w:r>
      <w:r>
        <w:rPr>
          <w:rFonts w:hint="eastAsia"/>
          <w:sz w:val="30"/>
          <w:szCs w:val="30"/>
        </w:rPr>
        <w:t>小时的抢救并不成功，始终未能建立自主呼吸，气管插管也未能及时建立有效通气，导致长时间缺氧加重损害；</w:t>
      </w:r>
      <w:r>
        <w:rPr>
          <w:rFonts w:hint="eastAsia"/>
          <w:sz w:val="30"/>
          <w:szCs w:val="30"/>
        </w:rPr>
        <w:t>5.</w:t>
      </w:r>
      <w:r>
        <w:rPr>
          <w:rFonts w:hint="eastAsia"/>
          <w:sz w:val="30"/>
          <w:szCs w:val="30"/>
        </w:rPr>
        <w:t>离开被申请人时患儿无自主呼吸，转运途中未使用呼吸机支持呼吸，增加了加重缺氧的风险。（二）医方上述过错行为中的第</w:t>
      </w:r>
      <w:r>
        <w:rPr>
          <w:rFonts w:hint="eastAsia"/>
          <w:sz w:val="30"/>
          <w:szCs w:val="30"/>
        </w:rPr>
        <w:t>1</w:t>
      </w:r>
      <w:r>
        <w:rPr>
          <w:rFonts w:hint="eastAsia"/>
          <w:sz w:val="30"/>
          <w:szCs w:val="30"/>
        </w:rPr>
        <w:t>项、第</w:t>
      </w:r>
      <w:r>
        <w:rPr>
          <w:rFonts w:hint="eastAsia"/>
          <w:sz w:val="30"/>
          <w:szCs w:val="30"/>
        </w:rPr>
        <w:t>2</w:t>
      </w:r>
      <w:r>
        <w:rPr>
          <w:rFonts w:hint="eastAsia"/>
          <w:sz w:val="30"/>
          <w:szCs w:val="30"/>
        </w:rPr>
        <w:t>项、第</w:t>
      </w:r>
      <w:r>
        <w:rPr>
          <w:rFonts w:hint="eastAsia"/>
          <w:sz w:val="30"/>
          <w:szCs w:val="30"/>
        </w:rPr>
        <w:t>3</w:t>
      </w:r>
      <w:r>
        <w:rPr>
          <w:rFonts w:hint="eastAsia"/>
          <w:sz w:val="30"/>
          <w:szCs w:val="30"/>
        </w:rPr>
        <w:t>项、第</w:t>
      </w:r>
      <w:r>
        <w:rPr>
          <w:rFonts w:hint="eastAsia"/>
          <w:sz w:val="30"/>
          <w:szCs w:val="30"/>
        </w:rPr>
        <w:t>4</w:t>
      </w:r>
      <w:r>
        <w:rPr>
          <w:rFonts w:hint="eastAsia"/>
          <w:sz w:val="30"/>
          <w:szCs w:val="30"/>
        </w:rPr>
        <w:t>项、第</w:t>
      </w:r>
      <w:r>
        <w:rPr>
          <w:rFonts w:hint="eastAsia"/>
          <w:sz w:val="30"/>
          <w:szCs w:val="30"/>
        </w:rPr>
        <w:t>5</w:t>
      </w:r>
      <w:r>
        <w:rPr>
          <w:rFonts w:hint="eastAsia"/>
          <w:sz w:val="30"/>
          <w:szCs w:val="30"/>
        </w:rPr>
        <w:t>项与被鉴定人王春燕之子（刘思铭）的损害后果之间存在一定的因果关系，建议医方占次要原因。最终的责任程度尚需法官结合本案其他证据</w:t>
      </w:r>
      <w:r>
        <w:rPr>
          <w:rFonts w:hint="eastAsia"/>
          <w:sz w:val="30"/>
          <w:szCs w:val="30"/>
        </w:rPr>
        <w:t>材料进一步确定。</w:t>
      </w:r>
    </w:p>
    <w:p w:rsidR="00000000" w:rsidRDefault="000407FB">
      <w:pPr>
        <w:spacing w:line="500" w:lineRule="atLeast"/>
        <w:ind w:firstLine="600"/>
        <w:divId w:val="1328748854"/>
        <w:rPr>
          <w:rFonts w:hint="eastAsia"/>
          <w:sz w:val="30"/>
          <w:szCs w:val="30"/>
        </w:rPr>
      </w:pP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日，一审法院作出判决：一、被申请人于本判决生效之日起</w:t>
      </w:r>
      <w:r>
        <w:rPr>
          <w:rFonts w:hint="eastAsia"/>
          <w:sz w:val="30"/>
          <w:szCs w:val="30"/>
        </w:rPr>
        <w:t>7</w:t>
      </w:r>
      <w:r>
        <w:rPr>
          <w:rFonts w:hint="eastAsia"/>
          <w:sz w:val="30"/>
          <w:szCs w:val="30"/>
        </w:rPr>
        <w:t>日内赔偿二再审申请人医疗费</w:t>
      </w:r>
      <w:r>
        <w:rPr>
          <w:rFonts w:hint="eastAsia"/>
          <w:sz w:val="30"/>
          <w:szCs w:val="30"/>
        </w:rPr>
        <w:t>26006</w:t>
      </w:r>
      <w:r>
        <w:rPr>
          <w:rFonts w:hint="eastAsia"/>
          <w:sz w:val="30"/>
          <w:szCs w:val="30"/>
        </w:rPr>
        <w:t>元、交通费</w:t>
      </w:r>
      <w:r>
        <w:rPr>
          <w:rFonts w:hint="eastAsia"/>
          <w:sz w:val="30"/>
          <w:szCs w:val="30"/>
        </w:rPr>
        <w:t>480</w:t>
      </w:r>
      <w:r>
        <w:rPr>
          <w:rFonts w:hint="eastAsia"/>
          <w:sz w:val="30"/>
          <w:szCs w:val="30"/>
        </w:rPr>
        <w:t>元、住院伙食补助费</w:t>
      </w:r>
      <w:r>
        <w:rPr>
          <w:rFonts w:hint="eastAsia"/>
          <w:sz w:val="30"/>
          <w:szCs w:val="30"/>
        </w:rPr>
        <w:t>816</w:t>
      </w:r>
      <w:r>
        <w:rPr>
          <w:rFonts w:hint="eastAsia"/>
          <w:sz w:val="30"/>
          <w:szCs w:val="30"/>
        </w:rPr>
        <w:t>元、婴儿用品费</w:t>
      </w:r>
      <w:r>
        <w:rPr>
          <w:rFonts w:hint="eastAsia"/>
          <w:sz w:val="30"/>
          <w:szCs w:val="30"/>
        </w:rPr>
        <w:t>648</w:t>
      </w:r>
      <w:r>
        <w:rPr>
          <w:rFonts w:hint="eastAsia"/>
          <w:sz w:val="30"/>
          <w:szCs w:val="30"/>
        </w:rPr>
        <w:t>元、分娩时用品费</w:t>
      </w:r>
      <w:r>
        <w:rPr>
          <w:rFonts w:hint="eastAsia"/>
          <w:sz w:val="30"/>
          <w:szCs w:val="30"/>
        </w:rPr>
        <w:t>111.4</w:t>
      </w:r>
      <w:r>
        <w:rPr>
          <w:rFonts w:hint="eastAsia"/>
          <w:sz w:val="30"/>
          <w:szCs w:val="30"/>
        </w:rPr>
        <w:t>元、病历复印费</w:t>
      </w:r>
      <w:r>
        <w:rPr>
          <w:rFonts w:hint="eastAsia"/>
          <w:sz w:val="30"/>
          <w:szCs w:val="30"/>
        </w:rPr>
        <w:t>194.3</w:t>
      </w:r>
      <w:r>
        <w:rPr>
          <w:rFonts w:hint="eastAsia"/>
          <w:sz w:val="30"/>
          <w:szCs w:val="30"/>
        </w:rPr>
        <w:t>元、丧葬费</w:t>
      </w:r>
      <w:r>
        <w:rPr>
          <w:rFonts w:hint="eastAsia"/>
          <w:sz w:val="30"/>
          <w:szCs w:val="30"/>
        </w:rPr>
        <w:t>41569.2</w:t>
      </w:r>
      <w:r>
        <w:rPr>
          <w:rFonts w:hint="eastAsia"/>
          <w:sz w:val="30"/>
          <w:szCs w:val="30"/>
        </w:rPr>
        <w:t>元、死亡赔偿金</w:t>
      </w:r>
      <w:r>
        <w:rPr>
          <w:rFonts w:hint="eastAsia"/>
          <w:sz w:val="30"/>
          <w:szCs w:val="30"/>
        </w:rPr>
        <w:t>708950.4</w:t>
      </w:r>
      <w:r>
        <w:rPr>
          <w:rFonts w:hint="eastAsia"/>
          <w:sz w:val="30"/>
          <w:szCs w:val="30"/>
        </w:rPr>
        <w:t>元、鉴定费</w:t>
      </w:r>
      <w:r>
        <w:rPr>
          <w:rFonts w:hint="eastAsia"/>
          <w:sz w:val="30"/>
          <w:szCs w:val="30"/>
        </w:rPr>
        <w:t>15000</w:t>
      </w:r>
      <w:r>
        <w:rPr>
          <w:rFonts w:hint="eastAsia"/>
          <w:sz w:val="30"/>
          <w:szCs w:val="30"/>
        </w:rPr>
        <w:t>元、精神损害抚慰金</w:t>
      </w:r>
      <w:r>
        <w:rPr>
          <w:rFonts w:hint="eastAsia"/>
          <w:sz w:val="30"/>
          <w:szCs w:val="30"/>
        </w:rPr>
        <w:t>100000</w:t>
      </w:r>
      <w:r>
        <w:rPr>
          <w:rFonts w:hint="eastAsia"/>
          <w:sz w:val="30"/>
          <w:szCs w:val="30"/>
        </w:rPr>
        <w:t>元，以上共计</w:t>
      </w:r>
      <w:r>
        <w:rPr>
          <w:rFonts w:hint="eastAsia"/>
          <w:sz w:val="30"/>
          <w:szCs w:val="30"/>
        </w:rPr>
        <w:t>893775.3</w:t>
      </w:r>
      <w:r>
        <w:rPr>
          <w:rFonts w:hint="eastAsia"/>
          <w:sz w:val="30"/>
          <w:szCs w:val="30"/>
        </w:rPr>
        <w:t>元；二、驳回二再审申请人其他诉讼请求。</w:t>
      </w:r>
    </w:p>
    <w:p w:rsidR="00000000" w:rsidRDefault="000407FB">
      <w:pPr>
        <w:spacing w:line="500" w:lineRule="atLeast"/>
        <w:ind w:firstLine="600"/>
        <w:divId w:val="720325893"/>
        <w:rPr>
          <w:rFonts w:hint="eastAsia"/>
          <w:sz w:val="30"/>
          <w:szCs w:val="30"/>
        </w:rPr>
      </w:pPr>
      <w:r>
        <w:rPr>
          <w:rFonts w:hint="eastAsia"/>
          <w:sz w:val="30"/>
          <w:szCs w:val="30"/>
        </w:rPr>
        <w:t>双方当事人均不服一审判决提起上诉。</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日，二审法院作出判决：驳回上诉，维持原判。</w:t>
      </w:r>
    </w:p>
    <w:p w:rsidR="00000000" w:rsidRDefault="000407FB">
      <w:pPr>
        <w:spacing w:line="500" w:lineRule="atLeast"/>
        <w:ind w:firstLine="600"/>
        <w:divId w:val="1573158648"/>
        <w:rPr>
          <w:rFonts w:hint="eastAsia"/>
          <w:sz w:val="30"/>
          <w:szCs w:val="30"/>
        </w:rPr>
      </w:pPr>
      <w:r>
        <w:rPr>
          <w:rFonts w:hint="eastAsia"/>
          <w:sz w:val="30"/>
          <w:szCs w:val="30"/>
        </w:rPr>
        <w:t>本院经</w:t>
      </w:r>
      <w:r>
        <w:rPr>
          <w:rFonts w:hint="eastAsia"/>
          <w:sz w:val="30"/>
          <w:szCs w:val="30"/>
        </w:rPr>
        <w:t>审查认为，一审法院在综合考虑鉴定意见书和双方当事人提供的其他证据的情况下，酌定被申请人承担</w:t>
      </w:r>
      <w:r>
        <w:rPr>
          <w:rFonts w:hint="eastAsia"/>
          <w:sz w:val="30"/>
          <w:szCs w:val="30"/>
        </w:rPr>
        <w:t>48%</w:t>
      </w:r>
      <w:r>
        <w:rPr>
          <w:rFonts w:hint="eastAsia"/>
          <w:sz w:val="30"/>
          <w:szCs w:val="30"/>
        </w:rPr>
        <w:t>的责任。虽然二再审申请人与被申请人均对鉴定意见提出异议并向法院申请由北京中正司法鉴定所对其申请质询给予答复，后北京中正司法鉴定所给二再审申请人予以答复，在没有其他证据证明该鉴定意见存在违法违规的情形下，一审法院认为该鉴定机构的鉴定意见合法有效，一审法院依法认定被申请人按照</w:t>
      </w:r>
      <w:r>
        <w:rPr>
          <w:rFonts w:hint="eastAsia"/>
          <w:sz w:val="30"/>
          <w:szCs w:val="30"/>
        </w:rPr>
        <w:t>48%</w:t>
      </w:r>
      <w:r>
        <w:rPr>
          <w:rFonts w:hint="eastAsia"/>
          <w:sz w:val="30"/>
          <w:szCs w:val="30"/>
        </w:rPr>
        <w:t>的责任比例承担赔偿责任。二审法院认为，一审法院根据被申请人存在过错的程度，参照鉴定意见结论，认定被申请人承担民事责任的比例范围适当，二审法</w:t>
      </w:r>
      <w:r>
        <w:rPr>
          <w:rFonts w:hint="eastAsia"/>
          <w:sz w:val="30"/>
          <w:szCs w:val="30"/>
        </w:rPr>
        <w:t>院予以维持。本院认为，一、二审法院的上述认定处理结果，并无不妥，二再审申请人要求被申请人承担</w:t>
      </w:r>
      <w:r>
        <w:rPr>
          <w:rFonts w:hint="eastAsia"/>
          <w:sz w:val="30"/>
          <w:szCs w:val="30"/>
        </w:rPr>
        <w:t>100%</w:t>
      </w:r>
      <w:r>
        <w:rPr>
          <w:rFonts w:hint="eastAsia"/>
          <w:sz w:val="30"/>
          <w:szCs w:val="30"/>
        </w:rPr>
        <w:t>的过错赔偿责任的再审请求和理由，缺乏充分证据证明，即二再审申请人王春燕、刘北军主张的本案应当再审的申请再审理由因依据不足而不成立。</w:t>
      </w:r>
    </w:p>
    <w:p w:rsidR="00000000" w:rsidRDefault="000407FB">
      <w:pPr>
        <w:spacing w:line="500" w:lineRule="atLeast"/>
        <w:ind w:firstLine="600"/>
        <w:divId w:val="591817663"/>
        <w:rPr>
          <w:rFonts w:hint="eastAsia"/>
          <w:sz w:val="30"/>
          <w:szCs w:val="30"/>
        </w:rPr>
      </w:pPr>
      <w:r>
        <w:rPr>
          <w:rFonts w:hint="eastAsia"/>
          <w:sz w:val="30"/>
          <w:szCs w:val="30"/>
        </w:rPr>
        <w:t>综上，王春燕、刘北军提出的申请再审事由，不符合《中华人民共和国民事诉讼法》第二百条第三项、第四项、第五项、第六项、第七项、第九项、第十一项规定的应当再审的法定情形。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r>
        <w:rPr>
          <w:rFonts w:hint="eastAsia"/>
          <w:sz w:val="30"/>
          <w:szCs w:val="30"/>
        </w:rPr>
        <w:t>：</w:t>
      </w:r>
    </w:p>
    <w:p w:rsidR="00000000" w:rsidRDefault="000407FB">
      <w:pPr>
        <w:spacing w:line="500" w:lineRule="atLeast"/>
        <w:ind w:firstLine="600"/>
        <w:divId w:val="422722190"/>
        <w:rPr>
          <w:rFonts w:hint="eastAsia"/>
          <w:sz w:val="30"/>
          <w:szCs w:val="30"/>
        </w:rPr>
      </w:pPr>
      <w:r>
        <w:rPr>
          <w:rFonts w:hint="eastAsia"/>
          <w:sz w:val="30"/>
          <w:szCs w:val="30"/>
        </w:rPr>
        <w:t>驳回王春燕、刘北军的再审申请。</w:t>
      </w:r>
    </w:p>
    <w:p w:rsidR="00000000" w:rsidRDefault="000407FB">
      <w:pPr>
        <w:spacing w:line="500" w:lineRule="atLeast"/>
        <w:jc w:val="right"/>
        <w:divId w:val="176051882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刘　珊</w:t>
      </w:r>
    </w:p>
    <w:p w:rsidR="00000000" w:rsidRDefault="000407FB">
      <w:pPr>
        <w:spacing w:line="500" w:lineRule="atLeast"/>
        <w:jc w:val="right"/>
        <w:divId w:val="102833042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李宝刚</w:t>
      </w:r>
    </w:p>
    <w:p w:rsidR="00000000" w:rsidRDefault="000407FB">
      <w:pPr>
        <w:spacing w:line="500" w:lineRule="atLeast"/>
        <w:jc w:val="right"/>
        <w:divId w:val="180094916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朱海宏</w:t>
      </w:r>
    </w:p>
    <w:p w:rsidR="00000000" w:rsidRDefault="000407FB">
      <w:pPr>
        <w:spacing w:line="500" w:lineRule="atLeast"/>
        <w:jc w:val="right"/>
        <w:divId w:val="1925258216"/>
        <w:rPr>
          <w:rFonts w:hint="eastAsia"/>
          <w:sz w:val="30"/>
          <w:szCs w:val="30"/>
        </w:rPr>
      </w:pPr>
      <w:r>
        <w:rPr>
          <w:rFonts w:hint="eastAsia"/>
          <w:sz w:val="30"/>
          <w:szCs w:val="30"/>
        </w:rPr>
        <w:t>二〇二一年四月二十九日</w:t>
      </w:r>
    </w:p>
    <w:p w:rsidR="00000000" w:rsidRDefault="000407FB">
      <w:pPr>
        <w:spacing w:line="500" w:lineRule="atLeast"/>
        <w:jc w:val="right"/>
        <w:divId w:val="628558184"/>
        <w:rPr>
          <w:rFonts w:hint="eastAsia"/>
          <w:sz w:val="30"/>
          <w:szCs w:val="30"/>
        </w:rPr>
      </w:pPr>
      <w:r>
        <w:rPr>
          <w:rFonts w:hint="eastAsia"/>
          <w:sz w:val="30"/>
          <w:szCs w:val="30"/>
        </w:rPr>
        <w:t>法官助理　　郝耀文</w:t>
      </w:r>
    </w:p>
    <w:p w:rsidR="00000000" w:rsidRDefault="000407FB">
      <w:pPr>
        <w:spacing w:line="500" w:lineRule="atLeast"/>
        <w:jc w:val="right"/>
        <w:divId w:val="1859076504"/>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侯　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7FB" w:rsidRDefault="000407FB" w:rsidP="000407FB">
      <w:r>
        <w:separator/>
      </w:r>
    </w:p>
  </w:endnote>
  <w:endnote w:type="continuationSeparator" w:id="0">
    <w:p w:rsidR="000407FB" w:rsidRDefault="000407FB" w:rsidP="0004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7FB" w:rsidRDefault="000407FB" w:rsidP="000407FB">
      <w:r>
        <w:separator/>
      </w:r>
    </w:p>
  </w:footnote>
  <w:footnote w:type="continuationSeparator" w:id="0">
    <w:p w:rsidR="000407FB" w:rsidRDefault="000407FB" w:rsidP="00040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407FB"/>
    <w:rsid w:val="00040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40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07FB"/>
    <w:rPr>
      <w:rFonts w:ascii="宋体" w:eastAsia="宋体" w:hAnsi="宋体" w:cs="宋体"/>
      <w:sz w:val="18"/>
      <w:szCs w:val="18"/>
    </w:rPr>
  </w:style>
  <w:style w:type="paragraph" w:styleId="a5">
    <w:name w:val="footer"/>
    <w:basedOn w:val="a"/>
    <w:link w:val="a6"/>
    <w:uiPriority w:val="99"/>
    <w:unhideWhenUsed/>
    <w:rsid w:val="000407FB"/>
    <w:pPr>
      <w:tabs>
        <w:tab w:val="center" w:pos="4153"/>
        <w:tab w:val="right" w:pos="8306"/>
      </w:tabs>
      <w:snapToGrid w:val="0"/>
    </w:pPr>
    <w:rPr>
      <w:sz w:val="18"/>
      <w:szCs w:val="18"/>
    </w:rPr>
  </w:style>
  <w:style w:type="character" w:customStyle="1" w:styleId="a6">
    <w:name w:val="页脚 字符"/>
    <w:basedOn w:val="a0"/>
    <w:link w:val="a5"/>
    <w:uiPriority w:val="99"/>
    <w:rsid w:val="000407F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3561">
      <w:marLeft w:val="0"/>
      <w:marRight w:val="0"/>
      <w:marTop w:val="10"/>
      <w:marBottom w:val="10"/>
      <w:divBdr>
        <w:top w:val="none" w:sz="0" w:space="0" w:color="auto"/>
        <w:left w:val="none" w:sz="0" w:space="0" w:color="auto"/>
        <w:bottom w:val="none" w:sz="0" w:space="0" w:color="auto"/>
        <w:right w:val="none" w:sz="0" w:space="0" w:color="auto"/>
      </w:divBdr>
    </w:div>
    <w:div w:id="415709661">
      <w:marLeft w:val="0"/>
      <w:marRight w:val="0"/>
      <w:marTop w:val="10"/>
      <w:marBottom w:val="10"/>
      <w:divBdr>
        <w:top w:val="none" w:sz="0" w:space="0" w:color="auto"/>
        <w:left w:val="none" w:sz="0" w:space="0" w:color="auto"/>
        <w:bottom w:val="none" w:sz="0" w:space="0" w:color="auto"/>
        <w:right w:val="none" w:sz="0" w:space="0" w:color="auto"/>
      </w:divBdr>
    </w:div>
    <w:div w:id="422722190">
      <w:marLeft w:val="0"/>
      <w:marRight w:val="0"/>
      <w:marTop w:val="10"/>
      <w:marBottom w:val="10"/>
      <w:divBdr>
        <w:top w:val="none" w:sz="0" w:space="0" w:color="auto"/>
        <w:left w:val="none" w:sz="0" w:space="0" w:color="auto"/>
        <w:bottom w:val="none" w:sz="0" w:space="0" w:color="auto"/>
        <w:right w:val="none" w:sz="0" w:space="0" w:color="auto"/>
      </w:divBdr>
    </w:div>
    <w:div w:id="591817663">
      <w:marLeft w:val="0"/>
      <w:marRight w:val="0"/>
      <w:marTop w:val="10"/>
      <w:marBottom w:val="10"/>
      <w:divBdr>
        <w:top w:val="none" w:sz="0" w:space="0" w:color="auto"/>
        <w:left w:val="none" w:sz="0" w:space="0" w:color="auto"/>
        <w:bottom w:val="none" w:sz="0" w:space="0" w:color="auto"/>
        <w:right w:val="none" w:sz="0" w:space="0" w:color="auto"/>
      </w:divBdr>
    </w:div>
    <w:div w:id="628558184">
      <w:marLeft w:val="0"/>
      <w:marRight w:val="720"/>
      <w:marTop w:val="10"/>
      <w:marBottom w:val="10"/>
      <w:divBdr>
        <w:top w:val="none" w:sz="0" w:space="0" w:color="auto"/>
        <w:left w:val="none" w:sz="0" w:space="0" w:color="auto"/>
        <w:bottom w:val="none" w:sz="0" w:space="0" w:color="auto"/>
        <w:right w:val="none" w:sz="0" w:space="0" w:color="auto"/>
      </w:divBdr>
    </w:div>
    <w:div w:id="671489042">
      <w:marLeft w:val="0"/>
      <w:marRight w:val="0"/>
      <w:marTop w:val="10"/>
      <w:marBottom w:val="10"/>
      <w:divBdr>
        <w:top w:val="none" w:sz="0" w:space="0" w:color="auto"/>
        <w:left w:val="none" w:sz="0" w:space="0" w:color="auto"/>
        <w:bottom w:val="none" w:sz="0" w:space="0" w:color="auto"/>
        <w:right w:val="none" w:sz="0" w:space="0" w:color="auto"/>
      </w:divBdr>
    </w:div>
    <w:div w:id="720325893">
      <w:marLeft w:val="0"/>
      <w:marRight w:val="0"/>
      <w:marTop w:val="10"/>
      <w:marBottom w:val="10"/>
      <w:divBdr>
        <w:top w:val="none" w:sz="0" w:space="0" w:color="auto"/>
        <w:left w:val="none" w:sz="0" w:space="0" w:color="auto"/>
        <w:bottom w:val="none" w:sz="0" w:space="0" w:color="auto"/>
        <w:right w:val="none" w:sz="0" w:space="0" w:color="auto"/>
      </w:divBdr>
    </w:div>
    <w:div w:id="764812188">
      <w:marLeft w:val="0"/>
      <w:marRight w:val="0"/>
      <w:marTop w:val="10"/>
      <w:marBottom w:val="10"/>
      <w:divBdr>
        <w:top w:val="none" w:sz="0" w:space="0" w:color="auto"/>
        <w:left w:val="none" w:sz="0" w:space="0" w:color="auto"/>
        <w:bottom w:val="none" w:sz="0" w:space="0" w:color="auto"/>
        <w:right w:val="none" w:sz="0" w:space="0" w:color="auto"/>
      </w:divBdr>
    </w:div>
    <w:div w:id="799374312">
      <w:marLeft w:val="0"/>
      <w:marRight w:val="0"/>
      <w:marTop w:val="10"/>
      <w:marBottom w:val="10"/>
      <w:divBdr>
        <w:top w:val="none" w:sz="0" w:space="0" w:color="auto"/>
        <w:left w:val="none" w:sz="0" w:space="0" w:color="auto"/>
        <w:bottom w:val="none" w:sz="0" w:space="0" w:color="auto"/>
        <w:right w:val="none" w:sz="0" w:space="0" w:color="auto"/>
      </w:divBdr>
    </w:div>
    <w:div w:id="816802710">
      <w:marLeft w:val="0"/>
      <w:marRight w:val="0"/>
      <w:marTop w:val="10"/>
      <w:marBottom w:val="10"/>
      <w:divBdr>
        <w:top w:val="none" w:sz="0" w:space="0" w:color="auto"/>
        <w:left w:val="none" w:sz="0" w:space="0" w:color="auto"/>
        <w:bottom w:val="none" w:sz="0" w:space="0" w:color="auto"/>
        <w:right w:val="none" w:sz="0" w:space="0" w:color="auto"/>
      </w:divBdr>
    </w:div>
    <w:div w:id="819343956">
      <w:marLeft w:val="0"/>
      <w:marRight w:val="0"/>
      <w:marTop w:val="10"/>
      <w:marBottom w:val="10"/>
      <w:divBdr>
        <w:top w:val="none" w:sz="0" w:space="0" w:color="auto"/>
        <w:left w:val="none" w:sz="0" w:space="0" w:color="auto"/>
        <w:bottom w:val="none" w:sz="0" w:space="0" w:color="auto"/>
        <w:right w:val="none" w:sz="0" w:space="0" w:color="auto"/>
      </w:divBdr>
    </w:div>
    <w:div w:id="966937006">
      <w:marLeft w:val="0"/>
      <w:marRight w:val="0"/>
      <w:marTop w:val="10"/>
      <w:marBottom w:val="10"/>
      <w:divBdr>
        <w:top w:val="none" w:sz="0" w:space="0" w:color="auto"/>
        <w:left w:val="none" w:sz="0" w:space="0" w:color="auto"/>
        <w:bottom w:val="none" w:sz="0" w:space="0" w:color="auto"/>
        <w:right w:val="none" w:sz="0" w:space="0" w:color="auto"/>
      </w:divBdr>
    </w:div>
    <w:div w:id="972715079">
      <w:marLeft w:val="0"/>
      <w:marRight w:val="0"/>
      <w:marTop w:val="10"/>
      <w:marBottom w:val="10"/>
      <w:divBdr>
        <w:top w:val="none" w:sz="0" w:space="0" w:color="auto"/>
        <w:left w:val="none" w:sz="0" w:space="0" w:color="auto"/>
        <w:bottom w:val="none" w:sz="0" w:space="0" w:color="auto"/>
        <w:right w:val="none" w:sz="0" w:space="0" w:color="auto"/>
      </w:divBdr>
    </w:div>
    <w:div w:id="1028330427">
      <w:marLeft w:val="0"/>
      <w:marRight w:val="720"/>
      <w:marTop w:val="10"/>
      <w:marBottom w:val="10"/>
      <w:divBdr>
        <w:top w:val="none" w:sz="0" w:space="0" w:color="auto"/>
        <w:left w:val="none" w:sz="0" w:space="0" w:color="auto"/>
        <w:bottom w:val="none" w:sz="0" w:space="0" w:color="auto"/>
        <w:right w:val="none" w:sz="0" w:space="0" w:color="auto"/>
      </w:divBdr>
    </w:div>
    <w:div w:id="1077433121">
      <w:marLeft w:val="0"/>
      <w:marRight w:val="0"/>
      <w:marTop w:val="10"/>
      <w:marBottom w:val="10"/>
      <w:divBdr>
        <w:top w:val="none" w:sz="0" w:space="0" w:color="auto"/>
        <w:left w:val="none" w:sz="0" w:space="0" w:color="auto"/>
        <w:bottom w:val="none" w:sz="0" w:space="0" w:color="auto"/>
        <w:right w:val="none" w:sz="0" w:space="0" w:color="auto"/>
      </w:divBdr>
    </w:div>
    <w:div w:id="1328748854">
      <w:marLeft w:val="0"/>
      <w:marRight w:val="0"/>
      <w:marTop w:val="10"/>
      <w:marBottom w:val="10"/>
      <w:divBdr>
        <w:top w:val="none" w:sz="0" w:space="0" w:color="auto"/>
        <w:left w:val="none" w:sz="0" w:space="0" w:color="auto"/>
        <w:bottom w:val="none" w:sz="0" w:space="0" w:color="auto"/>
        <w:right w:val="none" w:sz="0" w:space="0" w:color="auto"/>
      </w:divBdr>
    </w:div>
    <w:div w:id="1560942580">
      <w:marLeft w:val="0"/>
      <w:marRight w:val="0"/>
      <w:marTop w:val="10"/>
      <w:marBottom w:val="10"/>
      <w:divBdr>
        <w:top w:val="none" w:sz="0" w:space="0" w:color="auto"/>
        <w:left w:val="none" w:sz="0" w:space="0" w:color="auto"/>
        <w:bottom w:val="none" w:sz="0" w:space="0" w:color="auto"/>
        <w:right w:val="none" w:sz="0" w:space="0" w:color="auto"/>
      </w:divBdr>
    </w:div>
    <w:div w:id="1573158648">
      <w:marLeft w:val="0"/>
      <w:marRight w:val="0"/>
      <w:marTop w:val="10"/>
      <w:marBottom w:val="10"/>
      <w:divBdr>
        <w:top w:val="none" w:sz="0" w:space="0" w:color="auto"/>
        <w:left w:val="none" w:sz="0" w:space="0" w:color="auto"/>
        <w:bottom w:val="none" w:sz="0" w:space="0" w:color="auto"/>
        <w:right w:val="none" w:sz="0" w:space="0" w:color="auto"/>
      </w:divBdr>
    </w:div>
    <w:div w:id="1760518829">
      <w:marLeft w:val="0"/>
      <w:marRight w:val="720"/>
      <w:marTop w:val="10"/>
      <w:marBottom w:val="10"/>
      <w:divBdr>
        <w:top w:val="none" w:sz="0" w:space="0" w:color="auto"/>
        <w:left w:val="none" w:sz="0" w:space="0" w:color="auto"/>
        <w:bottom w:val="none" w:sz="0" w:space="0" w:color="auto"/>
        <w:right w:val="none" w:sz="0" w:space="0" w:color="auto"/>
      </w:divBdr>
    </w:div>
    <w:div w:id="1800949165">
      <w:marLeft w:val="0"/>
      <w:marRight w:val="720"/>
      <w:marTop w:val="10"/>
      <w:marBottom w:val="10"/>
      <w:divBdr>
        <w:top w:val="none" w:sz="0" w:space="0" w:color="auto"/>
        <w:left w:val="none" w:sz="0" w:space="0" w:color="auto"/>
        <w:bottom w:val="none" w:sz="0" w:space="0" w:color="auto"/>
        <w:right w:val="none" w:sz="0" w:space="0" w:color="auto"/>
      </w:divBdr>
    </w:div>
    <w:div w:id="1832676865">
      <w:marLeft w:val="0"/>
      <w:marRight w:val="0"/>
      <w:marTop w:val="10"/>
      <w:marBottom w:val="10"/>
      <w:divBdr>
        <w:top w:val="none" w:sz="0" w:space="0" w:color="auto"/>
        <w:left w:val="none" w:sz="0" w:space="0" w:color="auto"/>
        <w:bottom w:val="none" w:sz="0" w:space="0" w:color="auto"/>
        <w:right w:val="none" w:sz="0" w:space="0" w:color="auto"/>
      </w:divBdr>
    </w:div>
    <w:div w:id="1859076504">
      <w:marLeft w:val="0"/>
      <w:marRight w:val="720"/>
      <w:marTop w:val="10"/>
      <w:marBottom w:val="10"/>
      <w:divBdr>
        <w:top w:val="none" w:sz="0" w:space="0" w:color="auto"/>
        <w:left w:val="none" w:sz="0" w:space="0" w:color="auto"/>
        <w:bottom w:val="none" w:sz="0" w:space="0" w:color="auto"/>
        <w:right w:val="none" w:sz="0" w:space="0" w:color="auto"/>
      </w:divBdr>
    </w:div>
    <w:div w:id="1898856816">
      <w:marLeft w:val="0"/>
      <w:marRight w:val="0"/>
      <w:marTop w:val="10"/>
      <w:marBottom w:val="10"/>
      <w:divBdr>
        <w:top w:val="none" w:sz="0" w:space="0" w:color="auto"/>
        <w:left w:val="none" w:sz="0" w:space="0" w:color="auto"/>
        <w:bottom w:val="none" w:sz="0" w:space="0" w:color="auto"/>
        <w:right w:val="none" w:sz="0" w:space="0" w:color="auto"/>
      </w:divBdr>
    </w:div>
    <w:div w:id="1925258216">
      <w:marLeft w:val="0"/>
      <w:marRight w:val="720"/>
      <w:marTop w:val="10"/>
      <w:marBottom w:val="10"/>
      <w:divBdr>
        <w:top w:val="none" w:sz="0" w:space="0" w:color="auto"/>
        <w:left w:val="none" w:sz="0" w:space="0" w:color="auto"/>
        <w:bottom w:val="none" w:sz="0" w:space="0" w:color="auto"/>
        <w:right w:val="none" w:sz="0" w:space="0" w:color="auto"/>
      </w:divBdr>
    </w:div>
    <w:div w:id="1979409836">
      <w:marLeft w:val="0"/>
      <w:marRight w:val="0"/>
      <w:marTop w:val="10"/>
      <w:marBottom w:val="10"/>
      <w:divBdr>
        <w:top w:val="none" w:sz="0" w:space="0" w:color="auto"/>
        <w:left w:val="none" w:sz="0" w:space="0" w:color="auto"/>
        <w:bottom w:val="none" w:sz="0" w:space="0" w:color="auto"/>
        <w:right w:val="none" w:sz="0" w:space="0" w:color="auto"/>
      </w:divBdr>
    </w:div>
    <w:div w:id="2046519383">
      <w:marLeft w:val="0"/>
      <w:marRight w:val="0"/>
      <w:marTop w:val="10"/>
      <w:marBottom w:val="10"/>
      <w:divBdr>
        <w:top w:val="none" w:sz="0" w:space="0" w:color="auto"/>
        <w:left w:val="none" w:sz="0" w:space="0" w:color="auto"/>
        <w:bottom w:val="none" w:sz="0" w:space="0" w:color="auto"/>
        <w:right w:val="none" w:sz="0" w:space="0" w:color="auto"/>
      </w:divBdr>
    </w:div>
    <w:div w:id="207848053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