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F1C1B">
      <w:pPr>
        <w:spacing w:line="500" w:lineRule="atLeast"/>
        <w:jc w:val="center"/>
        <w:divId w:val="740754068"/>
        <w:rPr>
          <w:rFonts w:ascii="黑体" w:eastAsia="黑体" w:hAnsi="黑体"/>
          <w:sz w:val="36"/>
          <w:szCs w:val="36"/>
        </w:rPr>
      </w:pPr>
      <w:bookmarkStart w:id="0" w:name="_GoBack"/>
      <w:bookmarkEnd w:id="0"/>
      <w:r>
        <w:rPr>
          <w:rFonts w:ascii="黑体" w:eastAsia="黑体" w:hAnsi="黑体" w:hint="eastAsia"/>
          <w:sz w:val="36"/>
          <w:szCs w:val="36"/>
        </w:rPr>
        <w:t>吉林省高级人民法院</w:t>
      </w:r>
    </w:p>
    <w:p w:rsidR="00000000" w:rsidRDefault="00BF1C1B">
      <w:pPr>
        <w:spacing w:line="500" w:lineRule="atLeast"/>
        <w:jc w:val="center"/>
        <w:divId w:val="191797697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F1C1B">
      <w:pPr>
        <w:spacing w:line="500" w:lineRule="atLeast"/>
        <w:jc w:val="right"/>
        <w:divId w:val="1604534675"/>
        <w:rPr>
          <w:rFonts w:hint="eastAsia"/>
          <w:sz w:val="30"/>
          <w:szCs w:val="30"/>
        </w:rPr>
      </w:pPr>
      <w:r>
        <w:rPr>
          <w:rFonts w:hint="eastAsia"/>
          <w:sz w:val="30"/>
          <w:szCs w:val="30"/>
        </w:rPr>
        <w:t>（</w:t>
      </w:r>
      <w:r>
        <w:rPr>
          <w:rFonts w:hint="eastAsia"/>
          <w:sz w:val="30"/>
          <w:szCs w:val="30"/>
        </w:rPr>
        <w:t>2021</w:t>
      </w:r>
      <w:r>
        <w:rPr>
          <w:rFonts w:hint="eastAsia"/>
          <w:sz w:val="30"/>
          <w:szCs w:val="30"/>
        </w:rPr>
        <w:t>）吉民申</w:t>
      </w:r>
      <w:r>
        <w:rPr>
          <w:rFonts w:hint="eastAsia"/>
          <w:sz w:val="30"/>
          <w:szCs w:val="30"/>
        </w:rPr>
        <w:t>3002</w:t>
      </w:r>
      <w:r>
        <w:rPr>
          <w:rFonts w:hint="eastAsia"/>
          <w:sz w:val="30"/>
          <w:szCs w:val="30"/>
        </w:rPr>
        <w:t>号</w:t>
      </w:r>
    </w:p>
    <w:p w:rsidR="00000000" w:rsidRDefault="00BF1C1B">
      <w:pPr>
        <w:spacing w:line="500" w:lineRule="atLeast"/>
        <w:ind w:firstLine="600"/>
        <w:divId w:val="946041532"/>
        <w:rPr>
          <w:rFonts w:hint="eastAsia"/>
          <w:sz w:val="30"/>
          <w:szCs w:val="30"/>
        </w:rPr>
      </w:pPr>
      <w:r>
        <w:rPr>
          <w:rFonts w:hint="eastAsia"/>
          <w:sz w:val="30"/>
          <w:szCs w:val="30"/>
        </w:rPr>
        <w:t>再审申请人（一审原告、二审上诉人）：刘成花，女，</w:t>
      </w:r>
      <w:r>
        <w:rPr>
          <w:rFonts w:hint="eastAsia"/>
          <w:sz w:val="30"/>
          <w:szCs w:val="30"/>
        </w:rPr>
        <w:t>1960</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日出生，汉族，住吉林省蛟河市。</w:t>
      </w:r>
    </w:p>
    <w:p w:rsidR="00000000" w:rsidRDefault="00BF1C1B">
      <w:pPr>
        <w:spacing w:line="500" w:lineRule="atLeast"/>
        <w:ind w:firstLine="600"/>
        <w:divId w:val="1269586927"/>
        <w:rPr>
          <w:rFonts w:hint="eastAsia"/>
          <w:sz w:val="30"/>
          <w:szCs w:val="30"/>
        </w:rPr>
      </w:pPr>
      <w:r>
        <w:rPr>
          <w:rFonts w:hint="eastAsia"/>
          <w:sz w:val="30"/>
          <w:szCs w:val="30"/>
        </w:rPr>
        <w:t>法定监护人：黄启超（系刘成花女儿），住吉林省蛟河市庆岭镇和平村西大坡屯。</w:t>
      </w:r>
    </w:p>
    <w:p w:rsidR="00000000" w:rsidRDefault="00BF1C1B">
      <w:pPr>
        <w:spacing w:line="500" w:lineRule="atLeast"/>
        <w:ind w:firstLine="600"/>
        <w:divId w:val="1954045387"/>
        <w:rPr>
          <w:rFonts w:hint="eastAsia"/>
          <w:sz w:val="30"/>
          <w:szCs w:val="30"/>
        </w:rPr>
      </w:pPr>
      <w:r>
        <w:rPr>
          <w:rFonts w:hint="eastAsia"/>
          <w:sz w:val="30"/>
          <w:szCs w:val="30"/>
        </w:rPr>
        <w:t>委托诉讼代理人：曲迎越，吉林蛟河市程越法律服务所法律工作者。</w:t>
      </w:r>
    </w:p>
    <w:p w:rsidR="00000000" w:rsidRDefault="00BF1C1B">
      <w:pPr>
        <w:spacing w:line="500" w:lineRule="atLeast"/>
        <w:ind w:firstLine="600"/>
        <w:divId w:val="1202859623"/>
        <w:rPr>
          <w:rFonts w:hint="eastAsia"/>
          <w:sz w:val="30"/>
          <w:szCs w:val="30"/>
        </w:rPr>
      </w:pPr>
      <w:r>
        <w:rPr>
          <w:rFonts w:hint="eastAsia"/>
          <w:sz w:val="30"/>
          <w:szCs w:val="30"/>
        </w:rPr>
        <w:t>被申请人（一审被告、二审被上诉人）：蛟河德仁脑科医院，住所地吉林省蛟河市。</w:t>
      </w:r>
    </w:p>
    <w:p w:rsidR="00000000" w:rsidRDefault="00BF1C1B">
      <w:pPr>
        <w:spacing w:line="500" w:lineRule="atLeast"/>
        <w:ind w:firstLine="600"/>
        <w:divId w:val="973104045"/>
        <w:rPr>
          <w:rFonts w:hint="eastAsia"/>
          <w:sz w:val="30"/>
          <w:szCs w:val="30"/>
        </w:rPr>
      </w:pPr>
      <w:r>
        <w:rPr>
          <w:rFonts w:hint="eastAsia"/>
          <w:sz w:val="30"/>
          <w:szCs w:val="30"/>
        </w:rPr>
        <w:t>法定代表人：李忠波，该医院院长。</w:t>
      </w:r>
    </w:p>
    <w:p w:rsidR="00000000" w:rsidRDefault="00BF1C1B">
      <w:pPr>
        <w:spacing w:line="500" w:lineRule="atLeast"/>
        <w:ind w:firstLine="600"/>
        <w:divId w:val="2066833073"/>
        <w:rPr>
          <w:rFonts w:hint="eastAsia"/>
          <w:sz w:val="30"/>
          <w:szCs w:val="30"/>
        </w:rPr>
      </w:pPr>
      <w:r>
        <w:rPr>
          <w:rFonts w:hint="eastAsia"/>
          <w:sz w:val="30"/>
          <w:szCs w:val="30"/>
        </w:rPr>
        <w:t>委托诉讼代理人：于利锋，男，该医院副院长。</w:t>
      </w:r>
    </w:p>
    <w:p w:rsidR="00000000" w:rsidRDefault="00BF1C1B">
      <w:pPr>
        <w:spacing w:line="500" w:lineRule="atLeast"/>
        <w:ind w:firstLine="600"/>
        <w:divId w:val="1258323548"/>
        <w:rPr>
          <w:rFonts w:hint="eastAsia"/>
          <w:sz w:val="30"/>
          <w:szCs w:val="30"/>
        </w:rPr>
      </w:pPr>
      <w:r>
        <w:rPr>
          <w:rFonts w:hint="eastAsia"/>
          <w:sz w:val="30"/>
          <w:szCs w:val="30"/>
        </w:rPr>
        <w:t>委托诉讼代理人：张建梅，女，该医院工会主席。</w:t>
      </w:r>
    </w:p>
    <w:p w:rsidR="00000000" w:rsidRDefault="00BF1C1B">
      <w:pPr>
        <w:spacing w:line="500" w:lineRule="atLeast"/>
        <w:ind w:firstLine="600"/>
        <w:divId w:val="1291479468"/>
        <w:rPr>
          <w:rFonts w:hint="eastAsia"/>
          <w:sz w:val="30"/>
          <w:szCs w:val="30"/>
        </w:rPr>
      </w:pPr>
      <w:r>
        <w:rPr>
          <w:rFonts w:hint="eastAsia"/>
          <w:sz w:val="30"/>
          <w:szCs w:val="30"/>
        </w:rPr>
        <w:t>再审申请人刘成花因与被申请人蛟河德仁脑科医院（以下简称德仁医院）医疗服务合同纠纷一案，不服吉林省吉林市中级人民法院（</w:t>
      </w:r>
      <w:r>
        <w:rPr>
          <w:rFonts w:hint="eastAsia"/>
          <w:sz w:val="30"/>
          <w:szCs w:val="30"/>
        </w:rPr>
        <w:t>2020</w:t>
      </w:r>
      <w:r>
        <w:rPr>
          <w:rFonts w:hint="eastAsia"/>
          <w:sz w:val="30"/>
          <w:szCs w:val="30"/>
        </w:rPr>
        <w:t>）吉</w:t>
      </w:r>
      <w:r>
        <w:rPr>
          <w:rFonts w:hint="eastAsia"/>
          <w:sz w:val="30"/>
          <w:szCs w:val="30"/>
        </w:rPr>
        <w:t>02</w:t>
      </w:r>
      <w:r>
        <w:rPr>
          <w:rFonts w:hint="eastAsia"/>
          <w:sz w:val="30"/>
          <w:szCs w:val="30"/>
        </w:rPr>
        <w:t>民终</w:t>
      </w:r>
      <w:r>
        <w:rPr>
          <w:rFonts w:hint="eastAsia"/>
          <w:sz w:val="30"/>
          <w:szCs w:val="30"/>
        </w:rPr>
        <w:t>2707</w:t>
      </w:r>
      <w:r>
        <w:rPr>
          <w:rFonts w:hint="eastAsia"/>
          <w:sz w:val="30"/>
          <w:szCs w:val="30"/>
        </w:rPr>
        <w:t>号民事判决，向本院申请再审。本院依法组成合议庭进行了审查，现已审查终结。</w:t>
      </w:r>
    </w:p>
    <w:p w:rsidR="00000000" w:rsidRDefault="00BF1C1B">
      <w:pPr>
        <w:spacing w:line="500" w:lineRule="atLeast"/>
        <w:ind w:firstLine="600"/>
        <w:divId w:val="81341909"/>
        <w:rPr>
          <w:rFonts w:hint="eastAsia"/>
          <w:sz w:val="30"/>
          <w:szCs w:val="30"/>
        </w:rPr>
      </w:pPr>
      <w:r>
        <w:rPr>
          <w:rFonts w:hint="eastAsia"/>
          <w:sz w:val="30"/>
          <w:szCs w:val="30"/>
        </w:rPr>
        <w:t>刘成花申请再审称，一、原判决认定的基本事实缺乏证据证明。一审庭审中已经查清德仁医院对刘成花入院时系三等残疾的情况非常了解，但是在日常的生活过程中，并没有给予特殊关照；刘成花入院时，德仁医院并未要求家属陪护，一审庭审中称与刘成花家属有协议，而并未提供所谓协议，而以“住院患者家属知情同意书”代之，</w:t>
      </w:r>
      <w:r>
        <w:rPr>
          <w:rFonts w:hint="eastAsia"/>
          <w:sz w:val="30"/>
          <w:szCs w:val="30"/>
        </w:rPr>
        <w:t>该同意书不能成为免责的理由。同时，德仁医院所采取的是封闭式管理，与德仁医院未尽到监护管理职责有直接的因果关系。在吉林省蛟河市人民法院（</w:t>
      </w:r>
      <w:r>
        <w:rPr>
          <w:rFonts w:hint="eastAsia"/>
          <w:sz w:val="30"/>
          <w:szCs w:val="30"/>
        </w:rPr>
        <w:t>2019</w:t>
      </w:r>
      <w:r>
        <w:rPr>
          <w:rFonts w:hint="eastAsia"/>
          <w:sz w:val="30"/>
          <w:szCs w:val="30"/>
        </w:rPr>
        <w:t>）吉</w:t>
      </w:r>
      <w:r>
        <w:rPr>
          <w:rFonts w:hint="eastAsia"/>
          <w:sz w:val="30"/>
          <w:szCs w:val="30"/>
        </w:rPr>
        <w:t>0281</w:t>
      </w:r>
      <w:r>
        <w:rPr>
          <w:rFonts w:hint="eastAsia"/>
          <w:sz w:val="30"/>
          <w:szCs w:val="30"/>
        </w:rPr>
        <w:t>民初</w:t>
      </w:r>
      <w:r>
        <w:rPr>
          <w:rFonts w:hint="eastAsia"/>
          <w:sz w:val="30"/>
          <w:szCs w:val="30"/>
        </w:rPr>
        <w:t>3344</w:t>
      </w:r>
      <w:r>
        <w:rPr>
          <w:rFonts w:hint="eastAsia"/>
          <w:sz w:val="30"/>
          <w:szCs w:val="30"/>
        </w:rPr>
        <w:t>号案件庭审中，德仁医院所提供证</w:t>
      </w:r>
      <w:r>
        <w:rPr>
          <w:rFonts w:hint="eastAsia"/>
          <w:sz w:val="30"/>
          <w:szCs w:val="30"/>
        </w:rPr>
        <w:lastRenderedPageBreak/>
        <w:t>人证明德仁医院对刘成花入院时所存在身体残疾情况知晓，但并未给予充分照顾。原判决认定以刘成花本身为癫痫性精神病患者及三级肢体残疾的事实，并不能充分证明德仁医院在提供医疗服务过程中存在过错，系对德仁医院的偏袒及无视刘成花作为弱者的合法权益的维护。二、原判决观点错误。一审法院所引用“知情同意书”系对医疗事故范围的缩小解释</w:t>
      </w:r>
      <w:r>
        <w:rPr>
          <w:rFonts w:hint="eastAsia"/>
          <w:sz w:val="30"/>
          <w:szCs w:val="30"/>
        </w:rPr>
        <w:t>及约定，与德仁医院应当对患者日常生活所应尽到的安全管理义务毫无关联，德仁医院作为全封闭化管理的专业医疗服务机构，所提供的医疗服务应当包含对患者日常生活的护理、照顾，未尽到照顾义务导致刘成花发生意外，德仁医院便属存在过错。三、一、二审法院均违反法定程序。一审庭审前刘成花已提交鉴定申请书，一审法院对于是否同意鉴定未作审理，也未作出任何意见。依照《最高人民法院关于适用〈中华人民共和国民事诉讼法〉的解释》第一百二十一条规定，刘成花申请鉴定的事项与待证事实具有直接关联，能够通过鉴定证明刘成花的具体损失数额，人民法院应</w:t>
      </w:r>
      <w:r>
        <w:rPr>
          <w:rFonts w:hint="eastAsia"/>
          <w:sz w:val="30"/>
          <w:szCs w:val="30"/>
        </w:rPr>
        <w:t>当准许。但一审法院却对刘成花提出的鉴定申请未予审理、不予准许，二审法院也未予审理，一、二审法院均违反了法定程序。刘成花依照《中华人民共和国民事诉讼法》第二百条第二项、第九项规定申请再审，请求对本案再审，撤销原判决，判决支持其诉讼请求。</w:t>
      </w:r>
    </w:p>
    <w:p w:rsidR="00000000" w:rsidRDefault="00BF1C1B">
      <w:pPr>
        <w:spacing w:line="500" w:lineRule="atLeast"/>
        <w:ind w:firstLine="600"/>
        <w:divId w:val="1569070004"/>
        <w:rPr>
          <w:rFonts w:hint="eastAsia"/>
          <w:sz w:val="30"/>
          <w:szCs w:val="30"/>
        </w:rPr>
      </w:pPr>
      <w:r>
        <w:rPr>
          <w:rFonts w:hint="eastAsia"/>
          <w:sz w:val="30"/>
          <w:szCs w:val="30"/>
        </w:rPr>
        <w:t>德仁医院提交意见称，刘成花跌倒过程有清晰影像资料，德仁医院无过错。</w:t>
      </w:r>
    </w:p>
    <w:p w:rsidR="00000000" w:rsidRDefault="00BF1C1B">
      <w:pPr>
        <w:spacing w:line="500" w:lineRule="atLeast"/>
        <w:ind w:firstLine="600"/>
        <w:divId w:val="1636182683"/>
        <w:rPr>
          <w:rFonts w:hint="eastAsia"/>
          <w:sz w:val="30"/>
          <w:szCs w:val="30"/>
        </w:rPr>
      </w:pPr>
      <w:r>
        <w:rPr>
          <w:rFonts w:hint="eastAsia"/>
          <w:sz w:val="30"/>
          <w:szCs w:val="30"/>
        </w:rPr>
        <w:t>本院经审查认为，一、关于刘成花提出的原判决认定基本事实缺乏证据证明的再审事由。原审法院开庭审理时，刘成花向法庭提供了监控视频，双方当事人对刘成花于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日下午步行到德仁医院大厅休息，坐在椅子上</w:t>
      </w:r>
      <w:r>
        <w:rPr>
          <w:rFonts w:hint="eastAsia"/>
          <w:sz w:val="30"/>
          <w:szCs w:val="30"/>
        </w:rPr>
        <w:t>10</w:t>
      </w:r>
      <w:r>
        <w:rPr>
          <w:rFonts w:hint="eastAsia"/>
          <w:sz w:val="30"/>
          <w:szCs w:val="30"/>
        </w:rPr>
        <w:t>多</w:t>
      </w:r>
      <w:r>
        <w:rPr>
          <w:rFonts w:hint="eastAsia"/>
          <w:sz w:val="30"/>
          <w:szCs w:val="30"/>
        </w:rPr>
        <w:t>分钟后起身，倒地受伤，致左内踝骨折、左腓骨下段螺旋形骨折的受伤</w:t>
      </w:r>
      <w:r>
        <w:rPr>
          <w:rFonts w:hint="eastAsia"/>
          <w:sz w:val="30"/>
          <w:szCs w:val="30"/>
        </w:rPr>
        <w:lastRenderedPageBreak/>
        <w:t>过程并无争议，刘成花仅是认为德仁医院未尽到照顾义务，存在过错，应承担责任。据此，本案存在法律关系竞合，刘成花可选择违反安全保障义务责任或者医疗服务合同法律关系作为自己的请求权基础，在本案一审法院开庭审理时，刘成花明确依据医疗服务合同法律关系主张权利。本院认为，医疗服务合同是医疗机构与患者之间就明确相互权利义务关系的合同，双方当事人约定由德仁医院提供医疗服务，刘成花接受医疗服务并支付医疗费用。关于提供医疗服务的形式，法律并无特殊规定，由医疗机构和患</w:t>
      </w:r>
      <w:r>
        <w:rPr>
          <w:rFonts w:hint="eastAsia"/>
          <w:sz w:val="30"/>
          <w:szCs w:val="30"/>
        </w:rPr>
        <w:t>者以口头、书面或者其他方式约定。本案中，刘成花入住德仁医院治疗疾病时，对其三等肢体残疾的情况明确知晓，其法定监护人在住院治疗知情同意书、患者保护性约束及隔离治疗知情同意书、药物治疗同意书、住院患者监护人知情同意书签字确认，双方当事人明确约定由于刘成花长期营养不良骨质疏松，发生意外摔伤，出现骨折不属于医疗事故，德仁医院不负任何责任。故原判决认为刘成花未能提供充分证据证明其所受损害系因德仁医院或医护人员的过错而造成，以刘成花本身为癫痫性精神病患者及三级肢体残疾的事实并不能充分证明德仁医院在提供医疗服务过程中存在</w:t>
      </w:r>
      <w:r>
        <w:rPr>
          <w:rFonts w:hint="eastAsia"/>
          <w:sz w:val="30"/>
          <w:szCs w:val="30"/>
        </w:rPr>
        <w:t>过错，对于刘成花的诉讼请求未予支持，并无不当。二、本案争议的焦点问题是对于刘成花的损伤，德仁医院在提供医疗服务过程中是否存在违约行为。刘成花主张德仁医院应承担违约责任，一审法院审理期间，书面申请鉴定，但其请求的是对护理期、营养期、后续治疗费和伤残等级进行鉴定，并未要求对刘成花受伤与德仁医院提供医疗服务之间是否具有因果关系进行鉴定。故原审法院在查清事实的基础上，对刘成花的鉴定申请未予准许，并针对当事人如何承担责任进行审理和作出判决，办案程序不违反法律规定。三、关于刘成花提出的“违反法律规定，剥夺当事人辩论权利</w:t>
      </w:r>
      <w:r>
        <w:rPr>
          <w:rFonts w:hint="eastAsia"/>
          <w:sz w:val="30"/>
          <w:szCs w:val="30"/>
        </w:rPr>
        <w:t>的”再审事由。刘成花主张在吉林省蛟河市人民法院（</w:t>
      </w:r>
      <w:r>
        <w:rPr>
          <w:rFonts w:hint="eastAsia"/>
          <w:sz w:val="30"/>
          <w:szCs w:val="30"/>
        </w:rPr>
        <w:t>2019</w:t>
      </w:r>
      <w:r>
        <w:rPr>
          <w:rFonts w:hint="eastAsia"/>
          <w:sz w:val="30"/>
          <w:szCs w:val="30"/>
        </w:rPr>
        <w:t>）吉</w:t>
      </w:r>
      <w:r>
        <w:rPr>
          <w:rFonts w:hint="eastAsia"/>
          <w:sz w:val="30"/>
          <w:szCs w:val="30"/>
        </w:rPr>
        <w:t>0281</w:t>
      </w:r>
      <w:r>
        <w:rPr>
          <w:rFonts w:hint="eastAsia"/>
          <w:sz w:val="30"/>
          <w:szCs w:val="30"/>
        </w:rPr>
        <w:t>民初</w:t>
      </w:r>
      <w:r>
        <w:rPr>
          <w:rFonts w:hint="eastAsia"/>
          <w:sz w:val="30"/>
          <w:szCs w:val="30"/>
        </w:rPr>
        <w:t>3344</w:t>
      </w:r>
      <w:r>
        <w:rPr>
          <w:rFonts w:hint="eastAsia"/>
          <w:sz w:val="30"/>
          <w:szCs w:val="30"/>
        </w:rPr>
        <w:t>号案件庭审中，其提出鉴定申请，但一审法院并没有启动鉴定程序，在后续的审理程序中，也没有启动，剥夺了刘成花的程序性权利，同时也剥夺了刘成花的相关辩论权利。本院认为，依照《最高人民法院关于适用〈中华人民共和国民事诉讼法〉的解释》第三百九十一条“原审开庭过程中有下列情形之一的，应当认定为民事诉讼法第二百条第九项规定的剥夺当事人辩论权利：（一）不允许当事人发表辩论意见的；（二）应当开庭审理而未开庭审理的；（三）违反法律规定送达起诉状副本</w:t>
      </w:r>
      <w:r>
        <w:rPr>
          <w:rFonts w:hint="eastAsia"/>
          <w:sz w:val="30"/>
          <w:szCs w:val="30"/>
        </w:rPr>
        <w:t>或者上诉状副本，致使当事人无法行使辩论权利的；（四）违法剥夺当事人辩论权利的其他情形”规定，刘成花未提供证据证明原审法院开庭过程中存在上述情形，其主张因未启动鉴定程序，剥夺其辩论权利，于法无据。</w:t>
      </w:r>
    </w:p>
    <w:p w:rsidR="00000000" w:rsidRDefault="00BF1C1B">
      <w:pPr>
        <w:spacing w:line="500" w:lineRule="atLeast"/>
        <w:ind w:firstLine="600"/>
        <w:divId w:val="178087781"/>
        <w:rPr>
          <w:rFonts w:hint="eastAsia"/>
          <w:sz w:val="30"/>
          <w:szCs w:val="30"/>
        </w:rPr>
      </w:pPr>
      <w:r>
        <w:rPr>
          <w:rFonts w:hint="eastAsia"/>
          <w:sz w:val="30"/>
          <w:szCs w:val="30"/>
        </w:rPr>
        <w:t>刘成花申请再审的事由不符合《中华人民共和国民事诉讼法》第二百条第二项和第九项规定的情形。</w:t>
      </w:r>
    </w:p>
    <w:p w:rsidR="00000000" w:rsidRDefault="00BF1C1B">
      <w:pPr>
        <w:spacing w:line="500" w:lineRule="atLeast"/>
        <w:ind w:firstLine="600"/>
        <w:divId w:val="729882836"/>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BF1C1B">
      <w:pPr>
        <w:spacing w:line="500" w:lineRule="atLeast"/>
        <w:ind w:firstLine="600"/>
        <w:divId w:val="1764493096"/>
        <w:rPr>
          <w:rFonts w:hint="eastAsia"/>
          <w:sz w:val="30"/>
          <w:szCs w:val="30"/>
        </w:rPr>
      </w:pPr>
      <w:r>
        <w:rPr>
          <w:rFonts w:hint="eastAsia"/>
          <w:sz w:val="30"/>
          <w:szCs w:val="30"/>
        </w:rPr>
        <w:t>驳回刘成花的再审申请。</w:t>
      </w:r>
    </w:p>
    <w:p w:rsidR="00000000" w:rsidRDefault="00BF1C1B">
      <w:pPr>
        <w:spacing w:line="500" w:lineRule="atLeast"/>
        <w:jc w:val="right"/>
        <w:divId w:val="8376403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刘海英</w:t>
      </w:r>
    </w:p>
    <w:p w:rsidR="00000000" w:rsidRDefault="00BF1C1B">
      <w:pPr>
        <w:spacing w:line="500" w:lineRule="atLeast"/>
        <w:jc w:val="right"/>
        <w:divId w:val="150805992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常文敏</w:t>
      </w:r>
    </w:p>
    <w:p w:rsidR="00000000" w:rsidRDefault="00BF1C1B">
      <w:pPr>
        <w:spacing w:line="500" w:lineRule="atLeast"/>
        <w:jc w:val="right"/>
        <w:divId w:val="159424182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w:t>
      </w:r>
      <w:r>
        <w:rPr>
          <w:rFonts w:hint="eastAsia"/>
          <w:sz w:val="30"/>
          <w:szCs w:val="30"/>
        </w:rPr>
        <w:t>咏林</w:t>
      </w:r>
    </w:p>
    <w:p w:rsidR="00000000" w:rsidRDefault="00BF1C1B">
      <w:pPr>
        <w:spacing w:line="500" w:lineRule="atLeast"/>
        <w:jc w:val="right"/>
        <w:divId w:val="181480167"/>
        <w:rPr>
          <w:rFonts w:hint="eastAsia"/>
          <w:sz w:val="30"/>
          <w:szCs w:val="30"/>
        </w:rPr>
      </w:pPr>
      <w:r>
        <w:rPr>
          <w:rFonts w:hint="eastAsia"/>
          <w:sz w:val="30"/>
          <w:szCs w:val="30"/>
        </w:rPr>
        <w:t>二〇二一年八月六日</w:t>
      </w:r>
    </w:p>
    <w:p w:rsidR="00000000" w:rsidRDefault="00BF1C1B">
      <w:pPr>
        <w:spacing w:line="500" w:lineRule="atLeast"/>
        <w:jc w:val="right"/>
        <w:divId w:val="2099323187"/>
        <w:rPr>
          <w:rFonts w:hint="eastAsia"/>
          <w:sz w:val="30"/>
          <w:szCs w:val="30"/>
        </w:rPr>
      </w:pPr>
      <w:r>
        <w:rPr>
          <w:rFonts w:hint="eastAsia"/>
          <w:sz w:val="30"/>
          <w:szCs w:val="30"/>
        </w:rPr>
        <w:t>法官助理　姜剑锋</w:t>
      </w:r>
    </w:p>
    <w:p w:rsidR="00000000" w:rsidRDefault="00BF1C1B">
      <w:pPr>
        <w:spacing w:line="500" w:lineRule="atLeast"/>
        <w:jc w:val="right"/>
        <w:divId w:val="73998898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职　楠</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C1B" w:rsidRDefault="00BF1C1B" w:rsidP="00BF1C1B">
      <w:r>
        <w:separator/>
      </w:r>
    </w:p>
  </w:endnote>
  <w:endnote w:type="continuationSeparator" w:id="0">
    <w:p w:rsidR="00BF1C1B" w:rsidRDefault="00BF1C1B" w:rsidP="00BF1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C1B" w:rsidRDefault="00BF1C1B" w:rsidP="00BF1C1B">
      <w:r>
        <w:separator/>
      </w:r>
    </w:p>
  </w:footnote>
  <w:footnote w:type="continuationSeparator" w:id="0">
    <w:p w:rsidR="00BF1C1B" w:rsidRDefault="00BF1C1B" w:rsidP="00BF1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1C1B"/>
    <w:rsid w:val="00BF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F1C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C1B"/>
    <w:rPr>
      <w:rFonts w:ascii="宋体" w:eastAsia="宋体" w:hAnsi="宋体" w:cs="宋体"/>
      <w:sz w:val="18"/>
      <w:szCs w:val="18"/>
    </w:rPr>
  </w:style>
  <w:style w:type="paragraph" w:styleId="a5">
    <w:name w:val="footer"/>
    <w:basedOn w:val="a"/>
    <w:link w:val="a6"/>
    <w:uiPriority w:val="99"/>
    <w:unhideWhenUsed/>
    <w:rsid w:val="00BF1C1B"/>
    <w:pPr>
      <w:tabs>
        <w:tab w:val="center" w:pos="4153"/>
        <w:tab w:val="right" w:pos="8306"/>
      </w:tabs>
      <w:snapToGrid w:val="0"/>
    </w:pPr>
    <w:rPr>
      <w:sz w:val="18"/>
      <w:szCs w:val="18"/>
    </w:rPr>
  </w:style>
  <w:style w:type="character" w:customStyle="1" w:styleId="a6">
    <w:name w:val="页脚 字符"/>
    <w:basedOn w:val="a0"/>
    <w:link w:val="a5"/>
    <w:uiPriority w:val="99"/>
    <w:rsid w:val="00BF1C1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1909">
      <w:marLeft w:val="0"/>
      <w:marRight w:val="0"/>
      <w:marTop w:val="10"/>
      <w:marBottom w:val="10"/>
      <w:divBdr>
        <w:top w:val="none" w:sz="0" w:space="0" w:color="auto"/>
        <w:left w:val="none" w:sz="0" w:space="0" w:color="auto"/>
        <w:bottom w:val="none" w:sz="0" w:space="0" w:color="auto"/>
        <w:right w:val="none" w:sz="0" w:space="0" w:color="auto"/>
      </w:divBdr>
    </w:div>
    <w:div w:id="83764035">
      <w:marLeft w:val="0"/>
      <w:marRight w:val="720"/>
      <w:marTop w:val="10"/>
      <w:marBottom w:val="10"/>
      <w:divBdr>
        <w:top w:val="none" w:sz="0" w:space="0" w:color="auto"/>
        <w:left w:val="none" w:sz="0" w:space="0" w:color="auto"/>
        <w:bottom w:val="none" w:sz="0" w:space="0" w:color="auto"/>
        <w:right w:val="none" w:sz="0" w:space="0" w:color="auto"/>
      </w:divBdr>
    </w:div>
    <w:div w:id="178087781">
      <w:marLeft w:val="0"/>
      <w:marRight w:val="0"/>
      <w:marTop w:val="10"/>
      <w:marBottom w:val="10"/>
      <w:divBdr>
        <w:top w:val="none" w:sz="0" w:space="0" w:color="auto"/>
        <w:left w:val="none" w:sz="0" w:space="0" w:color="auto"/>
        <w:bottom w:val="none" w:sz="0" w:space="0" w:color="auto"/>
        <w:right w:val="none" w:sz="0" w:space="0" w:color="auto"/>
      </w:divBdr>
    </w:div>
    <w:div w:id="181480167">
      <w:marLeft w:val="0"/>
      <w:marRight w:val="720"/>
      <w:marTop w:val="10"/>
      <w:marBottom w:val="10"/>
      <w:divBdr>
        <w:top w:val="none" w:sz="0" w:space="0" w:color="auto"/>
        <w:left w:val="none" w:sz="0" w:space="0" w:color="auto"/>
        <w:bottom w:val="none" w:sz="0" w:space="0" w:color="auto"/>
        <w:right w:val="none" w:sz="0" w:space="0" w:color="auto"/>
      </w:divBdr>
    </w:div>
    <w:div w:id="729882836">
      <w:marLeft w:val="0"/>
      <w:marRight w:val="0"/>
      <w:marTop w:val="10"/>
      <w:marBottom w:val="10"/>
      <w:divBdr>
        <w:top w:val="none" w:sz="0" w:space="0" w:color="auto"/>
        <w:left w:val="none" w:sz="0" w:space="0" w:color="auto"/>
        <w:bottom w:val="none" w:sz="0" w:space="0" w:color="auto"/>
        <w:right w:val="none" w:sz="0" w:space="0" w:color="auto"/>
      </w:divBdr>
    </w:div>
    <w:div w:id="739988980">
      <w:marLeft w:val="0"/>
      <w:marRight w:val="720"/>
      <w:marTop w:val="10"/>
      <w:marBottom w:val="10"/>
      <w:divBdr>
        <w:top w:val="none" w:sz="0" w:space="0" w:color="auto"/>
        <w:left w:val="none" w:sz="0" w:space="0" w:color="auto"/>
        <w:bottom w:val="none" w:sz="0" w:space="0" w:color="auto"/>
        <w:right w:val="none" w:sz="0" w:space="0" w:color="auto"/>
      </w:divBdr>
    </w:div>
    <w:div w:id="740754068">
      <w:marLeft w:val="0"/>
      <w:marRight w:val="0"/>
      <w:marTop w:val="10"/>
      <w:marBottom w:val="10"/>
      <w:divBdr>
        <w:top w:val="none" w:sz="0" w:space="0" w:color="auto"/>
        <w:left w:val="none" w:sz="0" w:space="0" w:color="auto"/>
        <w:bottom w:val="none" w:sz="0" w:space="0" w:color="auto"/>
        <w:right w:val="none" w:sz="0" w:space="0" w:color="auto"/>
      </w:divBdr>
    </w:div>
    <w:div w:id="946041532">
      <w:marLeft w:val="0"/>
      <w:marRight w:val="0"/>
      <w:marTop w:val="10"/>
      <w:marBottom w:val="10"/>
      <w:divBdr>
        <w:top w:val="none" w:sz="0" w:space="0" w:color="auto"/>
        <w:left w:val="none" w:sz="0" w:space="0" w:color="auto"/>
        <w:bottom w:val="none" w:sz="0" w:space="0" w:color="auto"/>
        <w:right w:val="none" w:sz="0" w:space="0" w:color="auto"/>
      </w:divBdr>
    </w:div>
    <w:div w:id="973104045">
      <w:marLeft w:val="0"/>
      <w:marRight w:val="0"/>
      <w:marTop w:val="10"/>
      <w:marBottom w:val="10"/>
      <w:divBdr>
        <w:top w:val="none" w:sz="0" w:space="0" w:color="auto"/>
        <w:left w:val="none" w:sz="0" w:space="0" w:color="auto"/>
        <w:bottom w:val="none" w:sz="0" w:space="0" w:color="auto"/>
        <w:right w:val="none" w:sz="0" w:space="0" w:color="auto"/>
      </w:divBdr>
    </w:div>
    <w:div w:id="1202859623">
      <w:marLeft w:val="0"/>
      <w:marRight w:val="0"/>
      <w:marTop w:val="10"/>
      <w:marBottom w:val="10"/>
      <w:divBdr>
        <w:top w:val="none" w:sz="0" w:space="0" w:color="auto"/>
        <w:left w:val="none" w:sz="0" w:space="0" w:color="auto"/>
        <w:bottom w:val="none" w:sz="0" w:space="0" w:color="auto"/>
        <w:right w:val="none" w:sz="0" w:space="0" w:color="auto"/>
      </w:divBdr>
    </w:div>
    <w:div w:id="1258323548">
      <w:marLeft w:val="0"/>
      <w:marRight w:val="0"/>
      <w:marTop w:val="10"/>
      <w:marBottom w:val="10"/>
      <w:divBdr>
        <w:top w:val="none" w:sz="0" w:space="0" w:color="auto"/>
        <w:left w:val="none" w:sz="0" w:space="0" w:color="auto"/>
        <w:bottom w:val="none" w:sz="0" w:space="0" w:color="auto"/>
        <w:right w:val="none" w:sz="0" w:space="0" w:color="auto"/>
      </w:divBdr>
    </w:div>
    <w:div w:id="1269586927">
      <w:marLeft w:val="0"/>
      <w:marRight w:val="0"/>
      <w:marTop w:val="10"/>
      <w:marBottom w:val="10"/>
      <w:divBdr>
        <w:top w:val="none" w:sz="0" w:space="0" w:color="auto"/>
        <w:left w:val="none" w:sz="0" w:space="0" w:color="auto"/>
        <w:bottom w:val="none" w:sz="0" w:space="0" w:color="auto"/>
        <w:right w:val="none" w:sz="0" w:space="0" w:color="auto"/>
      </w:divBdr>
    </w:div>
    <w:div w:id="1291479468">
      <w:marLeft w:val="0"/>
      <w:marRight w:val="0"/>
      <w:marTop w:val="10"/>
      <w:marBottom w:val="10"/>
      <w:divBdr>
        <w:top w:val="none" w:sz="0" w:space="0" w:color="auto"/>
        <w:left w:val="none" w:sz="0" w:space="0" w:color="auto"/>
        <w:bottom w:val="none" w:sz="0" w:space="0" w:color="auto"/>
        <w:right w:val="none" w:sz="0" w:space="0" w:color="auto"/>
      </w:divBdr>
    </w:div>
    <w:div w:id="1508059922">
      <w:marLeft w:val="0"/>
      <w:marRight w:val="720"/>
      <w:marTop w:val="10"/>
      <w:marBottom w:val="10"/>
      <w:divBdr>
        <w:top w:val="none" w:sz="0" w:space="0" w:color="auto"/>
        <w:left w:val="none" w:sz="0" w:space="0" w:color="auto"/>
        <w:bottom w:val="none" w:sz="0" w:space="0" w:color="auto"/>
        <w:right w:val="none" w:sz="0" w:space="0" w:color="auto"/>
      </w:divBdr>
    </w:div>
    <w:div w:id="1569070004">
      <w:marLeft w:val="0"/>
      <w:marRight w:val="0"/>
      <w:marTop w:val="10"/>
      <w:marBottom w:val="10"/>
      <w:divBdr>
        <w:top w:val="none" w:sz="0" w:space="0" w:color="auto"/>
        <w:left w:val="none" w:sz="0" w:space="0" w:color="auto"/>
        <w:bottom w:val="none" w:sz="0" w:space="0" w:color="auto"/>
        <w:right w:val="none" w:sz="0" w:space="0" w:color="auto"/>
      </w:divBdr>
    </w:div>
    <w:div w:id="1594241825">
      <w:marLeft w:val="0"/>
      <w:marRight w:val="720"/>
      <w:marTop w:val="10"/>
      <w:marBottom w:val="10"/>
      <w:divBdr>
        <w:top w:val="none" w:sz="0" w:space="0" w:color="auto"/>
        <w:left w:val="none" w:sz="0" w:space="0" w:color="auto"/>
        <w:bottom w:val="none" w:sz="0" w:space="0" w:color="auto"/>
        <w:right w:val="none" w:sz="0" w:space="0" w:color="auto"/>
      </w:divBdr>
    </w:div>
    <w:div w:id="1604534675">
      <w:marLeft w:val="0"/>
      <w:marRight w:val="0"/>
      <w:marTop w:val="10"/>
      <w:marBottom w:val="10"/>
      <w:divBdr>
        <w:top w:val="none" w:sz="0" w:space="0" w:color="auto"/>
        <w:left w:val="none" w:sz="0" w:space="0" w:color="auto"/>
        <w:bottom w:val="none" w:sz="0" w:space="0" w:color="auto"/>
        <w:right w:val="none" w:sz="0" w:space="0" w:color="auto"/>
      </w:divBdr>
    </w:div>
    <w:div w:id="1636182683">
      <w:marLeft w:val="0"/>
      <w:marRight w:val="0"/>
      <w:marTop w:val="10"/>
      <w:marBottom w:val="10"/>
      <w:divBdr>
        <w:top w:val="none" w:sz="0" w:space="0" w:color="auto"/>
        <w:left w:val="none" w:sz="0" w:space="0" w:color="auto"/>
        <w:bottom w:val="none" w:sz="0" w:space="0" w:color="auto"/>
        <w:right w:val="none" w:sz="0" w:space="0" w:color="auto"/>
      </w:divBdr>
    </w:div>
    <w:div w:id="1764493096">
      <w:marLeft w:val="0"/>
      <w:marRight w:val="0"/>
      <w:marTop w:val="10"/>
      <w:marBottom w:val="10"/>
      <w:divBdr>
        <w:top w:val="none" w:sz="0" w:space="0" w:color="auto"/>
        <w:left w:val="none" w:sz="0" w:space="0" w:color="auto"/>
        <w:bottom w:val="none" w:sz="0" w:space="0" w:color="auto"/>
        <w:right w:val="none" w:sz="0" w:space="0" w:color="auto"/>
      </w:divBdr>
    </w:div>
    <w:div w:id="1917976975">
      <w:marLeft w:val="0"/>
      <w:marRight w:val="0"/>
      <w:marTop w:val="10"/>
      <w:marBottom w:val="10"/>
      <w:divBdr>
        <w:top w:val="none" w:sz="0" w:space="0" w:color="auto"/>
        <w:left w:val="none" w:sz="0" w:space="0" w:color="auto"/>
        <w:bottom w:val="none" w:sz="0" w:space="0" w:color="auto"/>
        <w:right w:val="none" w:sz="0" w:space="0" w:color="auto"/>
      </w:divBdr>
    </w:div>
    <w:div w:id="1954045387">
      <w:marLeft w:val="0"/>
      <w:marRight w:val="0"/>
      <w:marTop w:val="10"/>
      <w:marBottom w:val="10"/>
      <w:divBdr>
        <w:top w:val="none" w:sz="0" w:space="0" w:color="auto"/>
        <w:left w:val="none" w:sz="0" w:space="0" w:color="auto"/>
        <w:bottom w:val="none" w:sz="0" w:space="0" w:color="auto"/>
        <w:right w:val="none" w:sz="0" w:space="0" w:color="auto"/>
      </w:divBdr>
    </w:div>
    <w:div w:id="2066833073">
      <w:marLeft w:val="0"/>
      <w:marRight w:val="0"/>
      <w:marTop w:val="10"/>
      <w:marBottom w:val="10"/>
      <w:divBdr>
        <w:top w:val="none" w:sz="0" w:space="0" w:color="auto"/>
        <w:left w:val="none" w:sz="0" w:space="0" w:color="auto"/>
        <w:bottom w:val="none" w:sz="0" w:space="0" w:color="auto"/>
        <w:right w:val="none" w:sz="0" w:space="0" w:color="auto"/>
      </w:divBdr>
    </w:div>
    <w:div w:id="209932318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