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F6927">
      <w:pPr>
        <w:spacing w:line="500" w:lineRule="atLeast"/>
        <w:jc w:val="center"/>
        <w:divId w:val="21561808"/>
        <w:rPr>
          <w:rFonts w:ascii="黑体" w:eastAsia="黑体" w:hAnsi="黑体"/>
          <w:sz w:val="36"/>
          <w:szCs w:val="36"/>
        </w:rPr>
      </w:pPr>
      <w:bookmarkStart w:id="0" w:name="_GoBack"/>
      <w:bookmarkEnd w:id="0"/>
      <w:r>
        <w:rPr>
          <w:rFonts w:ascii="黑体" w:eastAsia="黑体" w:hAnsi="黑体" w:hint="eastAsia"/>
          <w:sz w:val="36"/>
          <w:szCs w:val="36"/>
        </w:rPr>
        <w:t>辽宁省高级人民法院</w:t>
      </w:r>
    </w:p>
    <w:p w:rsidR="00000000" w:rsidRDefault="007F6927">
      <w:pPr>
        <w:spacing w:line="500" w:lineRule="atLeast"/>
        <w:jc w:val="center"/>
        <w:divId w:val="38633830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F6927">
      <w:pPr>
        <w:spacing w:line="500" w:lineRule="atLeast"/>
        <w:jc w:val="right"/>
        <w:divId w:val="1097336114"/>
        <w:rPr>
          <w:rFonts w:hint="eastAsia"/>
          <w:sz w:val="30"/>
          <w:szCs w:val="30"/>
        </w:rPr>
      </w:pPr>
      <w:r>
        <w:rPr>
          <w:rFonts w:hint="eastAsia"/>
          <w:sz w:val="30"/>
          <w:szCs w:val="30"/>
        </w:rPr>
        <w:t>（</w:t>
      </w:r>
      <w:r>
        <w:rPr>
          <w:rFonts w:hint="eastAsia"/>
          <w:sz w:val="30"/>
          <w:szCs w:val="30"/>
        </w:rPr>
        <w:t>2019</w:t>
      </w:r>
      <w:r>
        <w:rPr>
          <w:rFonts w:hint="eastAsia"/>
          <w:sz w:val="30"/>
          <w:szCs w:val="30"/>
        </w:rPr>
        <w:t>）辽民申</w:t>
      </w:r>
      <w:r>
        <w:rPr>
          <w:rFonts w:hint="eastAsia"/>
          <w:sz w:val="30"/>
          <w:szCs w:val="30"/>
        </w:rPr>
        <w:t>3720</w:t>
      </w:r>
      <w:r>
        <w:rPr>
          <w:rFonts w:hint="eastAsia"/>
          <w:sz w:val="30"/>
          <w:szCs w:val="30"/>
        </w:rPr>
        <w:t>号</w:t>
      </w:r>
    </w:p>
    <w:p w:rsidR="00000000" w:rsidRDefault="007F6927">
      <w:pPr>
        <w:spacing w:line="500" w:lineRule="atLeast"/>
        <w:ind w:firstLine="600"/>
        <w:divId w:val="1583833686"/>
        <w:rPr>
          <w:rFonts w:hint="eastAsia"/>
          <w:sz w:val="30"/>
          <w:szCs w:val="30"/>
        </w:rPr>
      </w:pPr>
      <w:r>
        <w:rPr>
          <w:rFonts w:hint="eastAsia"/>
          <w:sz w:val="30"/>
          <w:szCs w:val="30"/>
        </w:rPr>
        <w:t>再审申请人（一审原告、二审上诉人）：刘春艳，女。</w:t>
      </w:r>
    </w:p>
    <w:p w:rsidR="00000000" w:rsidRDefault="007F6927">
      <w:pPr>
        <w:spacing w:line="500" w:lineRule="atLeast"/>
        <w:ind w:firstLine="600"/>
        <w:divId w:val="345836385"/>
        <w:rPr>
          <w:rFonts w:hint="eastAsia"/>
          <w:sz w:val="30"/>
          <w:szCs w:val="30"/>
        </w:rPr>
      </w:pPr>
      <w:r>
        <w:rPr>
          <w:rFonts w:hint="eastAsia"/>
          <w:sz w:val="30"/>
          <w:szCs w:val="30"/>
        </w:rPr>
        <w:t>再审申请人（一审原告、二审上诉人）：刘云成，男。</w:t>
      </w:r>
    </w:p>
    <w:p w:rsidR="00000000" w:rsidRDefault="007F6927">
      <w:pPr>
        <w:spacing w:line="500" w:lineRule="atLeast"/>
        <w:ind w:firstLine="600"/>
        <w:divId w:val="397442701"/>
        <w:rPr>
          <w:rFonts w:hint="eastAsia"/>
          <w:sz w:val="30"/>
          <w:szCs w:val="30"/>
        </w:rPr>
      </w:pPr>
      <w:r>
        <w:rPr>
          <w:rFonts w:hint="eastAsia"/>
          <w:sz w:val="30"/>
          <w:szCs w:val="30"/>
        </w:rPr>
        <w:t>再审申请人（一审原告、二审上诉人）：刘春晶，女。</w:t>
      </w:r>
    </w:p>
    <w:p w:rsidR="00000000" w:rsidRDefault="007F6927">
      <w:pPr>
        <w:spacing w:line="500" w:lineRule="atLeast"/>
        <w:ind w:firstLine="600"/>
        <w:divId w:val="436485109"/>
        <w:rPr>
          <w:rFonts w:hint="eastAsia"/>
          <w:sz w:val="30"/>
          <w:szCs w:val="30"/>
        </w:rPr>
      </w:pPr>
      <w:r>
        <w:rPr>
          <w:rFonts w:hint="eastAsia"/>
          <w:sz w:val="30"/>
          <w:szCs w:val="30"/>
        </w:rPr>
        <w:t>再审申请人（一审原告、二审上诉人）：刘长君，男。</w:t>
      </w:r>
    </w:p>
    <w:p w:rsidR="00000000" w:rsidRDefault="007F6927">
      <w:pPr>
        <w:spacing w:line="500" w:lineRule="atLeast"/>
        <w:ind w:firstLine="600"/>
        <w:divId w:val="1363673311"/>
        <w:rPr>
          <w:rFonts w:hint="eastAsia"/>
          <w:sz w:val="30"/>
          <w:szCs w:val="30"/>
        </w:rPr>
      </w:pPr>
      <w:r>
        <w:rPr>
          <w:rFonts w:hint="eastAsia"/>
          <w:sz w:val="30"/>
          <w:szCs w:val="30"/>
        </w:rPr>
        <w:t>再审申请人（一审原告、二审上诉人）：刘春芬，女。</w:t>
      </w:r>
    </w:p>
    <w:p w:rsidR="00000000" w:rsidRDefault="007F6927">
      <w:pPr>
        <w:spacing w:line="500" w:lineRule="atLeast"/>
        <w:ind w:firstLine="600"/>
        <w:divId w:val="7680497"/>
        <w:rPr>
          <w:rFonts w:hint="eastAsia"/>
          <w:sz w:val="30"/>
          <w:szCs w:val="30"/>
        </w:rPr>
      </w:pPr>
      <w:r>
        <w:rPr>
          <w:rFonts w:hint="eastAsia"/>
          <w:sz w:val="30"/>
          <w:szCs w:val="30"/>
        </w:rPr>
        <w:t>刘云成、刘春晶、刘长君、刘春芬共同委托诉讼代理人：刘春艳，女。</w:t>
      </w:r>
    </w:p>
    <w:p w:rsidR="00000000" w:rsidRDefault="007F6927">
      <w:pPr>
        <w:spacing w:line="500" w:lineRule="atLeast"/>
        <w:ind w:firstLine="600"/>
        <w:divId w:val="2012218409"/>
        <w:rPr>
          <w:rFonts w:hint="eastAsia"/>
          <w:sz w:val="30"/>
          <w:szCs w:val="30"/>
        </w:rPr>
      </w:pPr>
      <w:r>
        <w:rPr>
          <w:rFonts w:hint="eastAsia"/>
          <w:sz w:val="30"/>
          <w:szCs w:val="30"/>
        </w:rPr>
        <w:t>被申请人（一审被告、二审被上诉人）：本溪钢铁（集团）总医院。</w:t>
      </w:r>
    </w:p>
    <w:p w:rsidR="00000000" w:rsidRDefault="007F6927">
      <w:pPr>
        <w:spacing w:line="500" w:lineRule="atLeast"/>
        <w:ind w:firstLine="600"/>
        <w:divId w:val="563301096"/>
        <w:rPr>
          <w:rFonts w:hint="eastAsia"/>
          <w:sz w:val="30"/>
          <w:szCs w:val="30"/>
        </w:rPr>
      </w:pPr>
      <w:r>
        <w:rPr>
          <w:rFonts w:hint="eastAsia"/>
          <w:sz w:val="30"/>
          <w:szCs w:val="30"/>
        </w:rPr>
        <w:t>法定代表人：潘玉明，该院院长。</w:t>
      </w:r>
    </w:p>
    <w:p w:rsidR="00000000" w:rsidRDefault="007F6927">
      <w:pPr>
        <w:spacing w:line="500" w:lineRule="atLeast"/>
        <w:ind w:firstLine="600"/>
        <w:divId w:val="1426726250"/>
        <w:rPr>
          <w:rFonts w:hint="eastAsia"/>
          <w:sz w:val="30"/>
          <w:szCs w:val="30"/>
        </w:rPr>
      </w:pPr>
      <w:r>
        <w:rPr>
          <w:rFonts w:hint="eastAsia"/>
          <w:sz w:val="30"/>
          <w:szCs w:val="30"/>
        </w:rPr>
        <w:t>再审申请人刘春艳、刘云成、刘春晶、刘长君、刘春芬因与被申请人本溪钢铁（集团）总医院医疗损害责任纠纷一案，不服本溪市中级人民法院（</w:t>
      </w:r>
      <w:r>
        <w:rPr>
          <w:rFonts w:hint="eastAsia"/>
          <w:sz w:val="30"/>
          <w:szCs w:val="30"/>
        </w:rPr>
        <w:t>2018</w:t>
      </w:r>
      <w:r>
        <w:rPr>
          <w:rFonts w:hint="eastAsia"/>
          <w:sz w:val="30"/>
          <w:szCs w:val="30"/>
        </w:rPr>
        <w:t>）辽</w:t>
      </w:r>
      <w:r>
        <w:rPr>
          <w:rFonts w:hint="eastAsia"/>
          <w:sz w:val="30"/>
          <w:szCs w:val="30"/>
        </w:rPr>
        <w:t>05</w:t>
      </w:r>
      <w:r>
        <w:rPr>
          <w:rFonts w:hint="eastAsia"/>
          <w:sz w:val="30"/>
          <w:szCs w:val="30"/>
        </w:rPr>
        <w:t>民终</w:t>
      </w:r>
      <w:r>
        <w:rPr>
          <w:rFonts w:hint="eastAsia"/>
          <w:sz w:val="30"/>
          <w:szCs w:val="30"/>
        </w:rPr>
        <w:t>103</w:t>
      </w:r>
      <w:r>
        <w:rPr>
          <w:rFonts w:hint="eastAsia"/>
          <w:sz w:val="30"/>
          <w:szCs w:val="30"/>
        </w:rPr>
        <w:t>号民事判决，向本院申请再审。本院依法组成合议庭进行了审查，现已审查终结。</w:t>
      </w:r>
    </w:p>
    <w:p w:rsidR="00000000" w:rsidRDefault="007F6927">
      <w:pPr>
        <w:spacing w:line="500" w:lineRule="atLeast"/>
        <w:ind w:firstLine="600"/>
        <w:divId w:val="2063744664"/>
        <w:rPr>
          <w:rFonts w:hint="eastAsia"/>
          <w:sz w:val="30"/>
          <w:szCs w:val="30"/>
        </w:rPr>
      </w:pPr>
      <w:r>
        <w:rPr>
          <w:rFonts w:hint="eastAsia"/>
          <w:sz w:val="30"/>
          <w:szCs w:val="30"/>
        </w:rPr>
        <w:t>刘云成、刘春艳、刘春晶、刘长君、刘春芬申请再审称：本溪钢铁（集团）总医院提供的病历存在伪造、篡改的行为，原审法院对篡改病历的具体内容和诊疗过程出现的过错，没有逐项的认证质证。医疗事故技术鉴定书是在该病历伪造、篡改的基础上作出的，应由本溪钢铁（集团）总医院承担全部的责任，原审法院判决本</w:t>
      </w:r>
      <w:r>
        <w:rPr>
          <w:rFonts w:hint="eastAsia"/>
          <w:sz w:val="30"/>
          <w:szCs w:val="30"/>
        </w:rPr>
        <w:t>溪钢铁（集团）总医院承担</w:t>
      </w:r>
      <w:r>
        <w:rPr>
          <w:rFonts w:hint="eastAsia"/>
          <w:sz w:val="30"/>
          <w:szCs w:val="30"/>
        </w:rPr>
        <w:t>40%</w:t>
      </w:r>
      <w:r>
        <w:rPr>
          <w:rFonts w:hint="eastAsia"/>
          <w:sz w:val="30"/>
          <w:szCs w:val="30"/>
        </w:rPr>
        <w:t>的责任，属于适用法律错误。原二审法院剥夺了刘云成、刘春艳、刘春晶、刘长君、刘春芬反驳和辩论的权利。刘云成、刘春艳、刘春晶、刘长君、刘春芬依照《中华人民共和国民事诉讼法》第</w:t>
      </w:r>
      <w:r>
        <w:rPr>
          <w:rFonts w:hint="eastAsia"/>
          <w:sz w:val="30"/>
          <w:szCs w:val="30"/>
        </w:rPr>
        <w:lastRenderedPageBreak/>
        <w:t>二百条第（二）项、第（三）项、第（四）项、第（六）项、第（九）项的规定，请求撤销原判，依法再审。</w:t>
      </w:r>
    </w:p>
    <w:p w:rsidR="00000000" w:rsidRDefault="007F6927">
      <w:pPr>
        <w:spacing w:line="500" w:lineRule="atLeast"/>
        <w:ind w:firstLine="600"/>
        <w:divId w:val="1485270966"/>
        <w:rPr>
          <w:rFonts w:hint="eastAsia"/>
          <w:sz w:val="30"/>
          <w:szCs w:val="30"/>
        </w:rPr>
      </w:pPr>
      <w:r>
        <w:rPr>
          <w:rFonts w:hint="eastAsia"/>
          <w:sz w:val="30"/>
          <w:szCs w:val="30"/>
        </w:rPr>
        <w:t>本院经审查认为：《中华人民共和国侵权责任法》第五十四条规定：“患者在诊疗活动中受到损害，医疗机构及其医务人员有过错的，由医疗机构承担赔偿责任”、《最高人民法院关于审理医疗损害责任纠纷案件适用法律若干问题的解释》第四</w:t>
      </w:r>
      <w:r>
        <w:rPr>
          <w:rFonts w:hint="eastAsia"/>
          <w:sz w:val="30"/>
          <w:szCs w:val="30"/>
        </w:rPr>
        <w:t>条规定：“患者依据侵权责任法第五十四条规定主张医疗机构承担赔偿责任的，应当提交到该医疗机构就诊、受到损害的证据。患者无法提交医疗机构及其医务人员有过错、诊疗行为与损害之间具有因果关系的证据，依法提出医疗损害鉴定申请的，人民法院应予准许。医疗机构主张不承担责任的，应当就侵权责任法第六十条第一款规定情形等抗辩事由承担举证证明责任”、第十六条规定：“对医疗机构及其医务人员的过错，应当依据法律、行政法规、规章以及其他有关诊疗规范进行认定，可以综合考虑患者病情的紧急程度、患者个体差异、当地的医疗水平、医疗机构与医务人</w:t>
      </w:r>
      <w:r>
        <w:rPr>
          <w:rFonts w:hint="eastAsia"/>
          <w:sz w:val="30"/>
          <w:szCs w:val="30"/>
        </w:rPr>
        <w:t>员资质等因素。”</w:t>
      </w:r>
    </w:p>
    <w:p w:rsidR="00000000" w:rsidRDefault="007F6927">
      <w:pPr>
        <w:spacing w:line="500" w:lineRule="atLeast"/>
        <w:ind w:firstLine="600"/>
        <w:divId w:val="1107850733"/>
        <w:rPr>
          <w:rFonts w:hint="eastAsia"/>
          <w:sz w:val="30"/>
          <w:szCs w:val="30"/>
        </w:rPr>
      </w:pPr>
      <w:r>
        <w:rPr>
          <w:rFonts w:hint="eastAsia"/>
          <w:sz w:val="30"/>
          <w:szCs w:val="30"/>
        </w:rPr>
        <w:t>本案中，许秀英就诊于本溪钢铁（集团）总医院，在诊疗过程中死亡。本溪钢铁（集团）总医院作为医疗机构，在诊疗过程中违反诊疗规范，具有过错。但该院违反诊疗规范与许秀英的死亡是否具有因果关系及原因力大小，无法院委托的专业鉴定机构出具司法鉴定结论。故原审法院结合本溪钢铁（集团）总医院诊疗过程、患者许秀英自身情况及病例存在的问题，综合考虑许秀英死亡后果原因力的大小，酌定本溪钢铁（集团）总医院承担</w:t>
      </w:r>
      <w:r>
        <w:rPr>
          <w:rFonts w:hint="eastAsia"/>
          <w:sz w:val="30"/>
          <w:szCs w:val="30"/>
        </w:rPr>
        <w:t>40</w:t>
      </w:r>
      <w:r>
        <w:rPr>
          <w:rFonts w:hint="eastAsia"/>
          <w:sz w:val="30"/>
          <w:szCs w:val="30"/>
        </w:rPr>
        <w:t>％民事责任，并判决本溪钢铁（集团）总医院给付刘云成、刘春艳、刘春晶、刘长君、刘春芬赔偿款</w:t>
      </w:r>
      <w:r>
        <w:rPr>
          <w:rFonts w:hint="eastAsia"/>
          <w:sz w:val="30"/>
          <w:szCs w:val="30"/>
        </w:rPr>
        <w:t>160142.9</w:t>
      </w:r>
      <w:r>
        <w:rPr>
          <w:rFonts w:hint="eastAsia"/>
          <w:sz w:val="30"/>
          <w:szCs w:val="30"/>
        </w:rPr>
        <w:t>8</w:t>
      </w:r>
      <w:r>
        <w:rPr>
          <w:rFonts w:hint="eastAsia"/>
          <w:sz w:val="30"/>
          <w:szCs w:val="30"/>
        </w:rPr>
        <w:t>元，并无不当。关于刘云成、刘春艳、刘春晶、刘长君、刘春芬主张本溪钢铁（集团）总医院伪造、隐匿、篡改</w:t>
      </w:r>
      <w:r>
        <w:rPr>
          <w:rFonts w:hint="eastAsia"/>
          <w:sz w:val="30"/>
          <w:szCs w:val="30"/>
        </w:rPr>
        <w:lastRenderedPageBreak/>
        <w:t>病志应承担全部赔偿责任一节。因无鉴定机构作出相应的鉴定结论，无法推定医疗机构应承担全部过错责任。刘云成、刘春艳、刘春晶、刘长君、刘春芬主张原审审理过程中，审判人员不允许其行使辩论权利，但并未提供有效的证据予以证明。综上，刘云成、刘春艳、刘春晶、刘长君、刘春芬的再审申请不符合《中华人民共和国民事诉讼法》第二百条第（二）项、第（三）项、第（四）项、第（六）项、第（九）项规定的情形。</w:t>
      </w:r>
    </w:p>
    <w:p w:rsidR="00000000" w:rsidRDefault="007F6927">
      <w:pPr>
        <w:spacing w:line="500" w:lineRule="atLeast"/>
        <w:ind w:firstLine="600"/>
        <w:divId w:val="692263749"/>
        <w:rPr>
          <w:rFonts w:hint="eastAsia"/>
          <w:sz w:val="30"/>
          <w:szCs w:val="30"/>
        </w:rPr>
      </w:pPr>
      <w:r>
        <w:rPr>
          <w:rFonts w:hint="eastAsia"/>
          <w:sz w:val="30"/>
          <w:szCs w:val="30"/>
        </w:rPr>
        <w:t>依照《中华人民共和国民事诉讼法</w:t>
      </w:r>
      <w:r>
        <w:rPr>
          <w:rFonts w:hint="eastAsia"/>
          <w:sz w:val="30"/>
          <w:szCs w:val="30"/>
        </w:rPr>
        <w:t>》第二百零四条第一款，《最高人民法院关于适用〈中华人民共和国民事诉讼法〉的解释》第三百九十五条第二款之规定，裁定如下：</w:t>
      </w:r>
    </w:p>
    <w:p w:rsidR="00000000" w:rsidRDefault="007F6927">
      <w:pPr>
        <w:spacing w:line="500" w:lineRule="atLeast"/>
        <w:ind w:firstLine="600"/>
        <w:divId w:val="758719599"/>
        <w:rPr>
          <w:rFonts w:hint="eastAsia"/>
          <w:sz w:val="30"/>
          <w:szCs w:val="30"/>
        </w:rPr>
      </w:pPr>
      <w:r>
        <w:rPr>
          <w:rFonts w:hint="eastAsia"/>
          <w:sz w:val="30"/>
          <w:szCs w:val="30"/>
        </w:rPr>
        <w:t>驳回刘云成、刘春艳、刘春晶、刘长君、刘春芬的再审申请。</w:t>
      </w:r>
    </w:p>
    <w:p w:rsidR="00000000" w:rsidRDefault="007F6927">
      <w:pPr>
        <w:spacing w:line="500" w:lineRule="atLeast"/>
        <w:jc w:val="right"/>
        <w:divId w:val="1067193819"/>
        <w:rPr>
          <w:rFonts w:hint="eastAsia"/>
          <w:sz w:val="30"/>
          <w:szCs w:val="30"/>
        </w:rPr>
      </w:pPr>
      <w:r>
        <w:rPr>
          <w:rFonts w:hint="eastAsia"/>
          <w:sz w:val="30"/>
          <w:szCs w:val="30"/>
        </w:rPr>
        <w:t>审判长　　蒋华明</w:t>
      </w:r>
    </w:p>
    <w:p w:rsidR="00000000" w:rsidRDefault="007F6927">
      <w:pPr>
        <w:spacing w:line="500" w:lineRule="atLeast"/>
        <w:jc w:val="right"/>
        <w:divId w:val="121577129"/>
        <w:rPr>
          <w:rFonts w:hint="eastAsia"/>
          <w:sz w:val="30"/>
          <w:szCs w:val="30"/>
        </w:rPr>
      </w:pPr>
      <w:r>
        <w:rPr>
          <w:rFonts w:hint="eastAsia"/>
          <w:sz w:val="30"/>
          <w:szCs w:val="30"/>
        </w:rPr>
        <w:t>审判员　　张宇庭</w:t>
      </w:r>
    </w:p>
    <w:p w:rsidR="00000000" w:rsidRDefault="007F6927">
      <w:pPr>
        <w:spacing w:line="500" w:lineRule="atLeast"/>
        <w:jc w:val="right"/>
        <w:divId w:val="1118643009"/>
        <w:rPr>
          <w:rFonts w:hint="eastAsia"/>
          <w:sz w:val="30"/>
          <w:szCs w:val="30"/>
        </w:rPr>
      </w:pPr>
      <w:r>
        <w:rPr>
          <w:rFonts w:hint="eastAsia"/>
          <w:sz w:val="30"/>
          <w:szCs w:val="30"/>
        </w:rPr>
        <w:t>审判员　　李永财</w:t>
      </w:r>
    </w:p>
    <w:p w:rsidR="00000000" w:rsidRDefault="007F6927">
      <w:pPr>
        <w:spacing w:line="500" w:lineRule="atLeast"/>
        <w:jc w:val="right"/>
        <w:divId w:val="288439653"/>
        <w:rPr>
          <w:rFonts w:hint="eastAsia"/>
          <w:sz w:val="30"/>
          <w:szCs w:val="30"/>
        </w:rPr>
      </w:pPr>
      <w:r>
        <w:rPr>
          <w:rFonts w:hint="eastAsia"/>
          <w:sz w:val="30"/>
          <w:szCs w:val="30"/>
        </w:rPr>
        <w:t>二〇一九年十一月二十七日</w:t>
      </w:r>
    </w:p>
    <w:p w:rsidR="00000000" w:rsidRDefault="007F6927">
      <w:pPr>
        <w:spacing w:line="500" w:lineRule="atLeast"/>
        <w:ind w:firstLine="600"/>
        <w:divId w:val="1430615915"/>
        <w:rPr>
          <w:rFonts w:hint="eastAsia"/>
          <w:sz w:val="30"/>
          <w:szCs w:val="30"/>
        </w:rPr>
      </w:pPr>
      <w:r>
        <w:rPr>
          <w:rFonts w:hint="eastAsia"/>
          <w:sz w:val="30"/>
          <w:szCs w:val="30"/>
        </w:rPr>
        <w:t>法官助理邓宇喆</w:t>
      </w:r>
    </w:p>
    <w:p w:rsidR="00000000" w:rsidRDefault="007F6927">
      <w:pPr>
        <w:spacing w:line="500" w:lineRule="atLeast"/>
        <w:ind w:firstLine="600"/>
        <w:divId w:val="1741561833"/>
        <w:rPr>
          <w:rFonts w:hint="eastAsia"/>
          <w:sz w:val="30"/>
          <w:szCs w:val="30"/>
        </w:rPr>
      </w:pPr>
      <w:r>
        <w:rPr>
          <w:rFonts w:hint="eastAsia"/>
          <w:sz w:val="30"/>
          <w:szCs w:val="30"/>
        </w:rPr>
        <w:t>书记员辛颖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927" w:rsidRDefault="007F6927" w:rsidP="007F6927">
      <w:r>
        <w:separator/>
      </w:r>
    </w:p>
  </w:endnote>
  <w:endnote w:type="continuationSeparator" w:id="0">
    <w:p w:rsidR="007F6927" w:rsidRDefault="007F6927" w:rsidP="007F6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927" w:rsidRDefault="007F6927" w:rsidP="007F6927">
      <w:r>
        <w:separator/>
      </w:r>
    </w:p>
  </w:footnote>
  <w:footnote w:type="continuationSeparator" w:id="0">
    <w:p w:rsidR="007F6927" w:rsidRDefault="007F6927" w:rsidP="007F69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F6927"/>
    <w:rsid w:val="007F6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F69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6927"/>
    <w:rPr>
      <w:rFonts w:ascii="宋体" w:eastAsia="宋体" w:hAnsi="宋体" w:cs="宋体"/>
      <w:sz w:val="18"/>
      <w:szCs w:val="18"/>
    </w:rPr>
  </w:style>
  <w:style w:type="paragraph" w:styleId="a5">
    <w:name w:val="footer"/>
    <w:basedOn w:val="a"/>
    <w:link w:val="a6"/>
    <w:uiPriority w:val="99"/>
    <w:unhideWhenUsed/>
    <w:rsid w:val="007F6927"/>
    <w:pPr>
      <w:tabs>
        <w:tab w:val="center" w:pos="4153"/>
        <w:tab w:val="right" w:pos="8306"/>
      </w:tabs>
      <w:snapToGrid w:val="0"/>
    </w:pPr>
    <w:rPr>
      <w:sz w:val="18"/>
      <w:szCs w:val="18"/>
    </w:rPr>
  </w:style>
  <w:style w:type="character" w:customStyle="1" w:styleId="a6">
    <w:name w:val="页脚 字符"/>
    <w:basedOn w:val="a0"/>
    <w:link w:val="a5"/>
    <w:uiPriority w:val="99"/>
    <w:rsid w:val="007F692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497">
      <w:marLeft w:val="0"/>
      <w:marRight w:val="0"/>
      <w:marTop w:val="10"/>
      <w:marBottom w:val="10"/>
      <w:divBdr>
        <w:top w:val="none" w:sz="0" w:space="0" w:color="auto"/>
        <w:left w:val="none" w:sz="0" w:space="0" w:color="auto"/>
        <w:bottom w:val="none" w:sz="0" w:space="0" w:color="auto"/>
        <w:right w:val="none" w:sz="0" w:space="0" w:color="auto"/>
      </w:divBdr>
    </w:div>
    <w:div w:id="21561808">
      <w:marLeft w:val="0"/>
      <w:marRight w:val="0"/>
      <w:marTop w:val="10"/>
      <w:marBottom w:val="10"/>
      <w:divBdr>
        <w:top w:val="none" w:sz="0" w:space="0" w:color="auto"/>
        <w:left w:val="none" w:sz="0" w:space="0" w:color="auto"/>
        <w:bottom w:val="none" w:sz="0" w:space="0" w:color="auto"/>
        <w:right w:val="none" w:sz="0" w:space="0" w:color="auto"/>
      </w:divBdr>
    </w:div>
    <w:div w:id="121577129">
      <w:marLeft w:val="0"/>
      <w:marRight w:val="720"/>
      <w:marTop w:val="10"/>
      <w:marBottom w:val="10"/>
      <w:divBdr>
        <w:top w:val="none" w:sz="0" w:space="0" w:color="auto"/>
        <w:left w:val="none" w:sz="0" w:space="0" w:color="auto"/>
        <w:bottom w:val="none" w:sz="0" w:space="0" w:color="auto"/>
        <w:right w:val="none" w:sz="0" w:space="0" w:color="auto"/>
      </w:divBdr>
    </w:div>
    <w:div w:id="288439653">
      <w:marLeft w:val="0"/>
      <w:marRight w:val="720"/>
      <w:marTop w:val="10"/>
      <w:marBottom w:val="10"/>
      <w:divBdr>
        <w:top w:val="none" w:sz="0" w:space="0" w:color="auto"/>
        <w:left w:val="none" w:sz="0" w:space="0" w:color="auto"/>
        <w:bottom w:val="none" w:sz="0" w:space="0" w:color="auto"/>
        <w:right w:val="none" w:sz="0" w:space="0" w:color="auto"/>
      </w:divBdr>
    </w:div>
    <w:div w:id="345836385">
      <w:marLeft w:val="0"/>
      <w:marRight w:val="0"/>
      <w:marTop w:val="10"/>
      <w:marBottom w:val="10"/>
      <w:divBdr>
        <w:top w:val="none" w:sz="0" w:space="0" w:color="auto"/>
        <w:left w:val="none" w:sz="0" w:space="0" w:color="auto"/>
        <w:bottom w:val="none" w:sz="0" w:space="0" w:color="auto"/>
        <w:right w:val="none" w:sz="0" w:space="0" w:color="auto"/>
      </w:divBdr>
    </w:div>
    <w:div w:id="386338305">
      <w:marLeft w:val="0"/>
      <w:marRight w:val="0"/>
      <w:marTop w:val="10"/>
      <w:marBottom w:val="10"/>
      <w:divBdr>
        <w:top w:val="none" w:sz="0" w:space="0" w:color="auto"/>
        <w:left w:val="none" w:sz="0" w:space="0" w:color="auto"/>
        <w:bottom w:val="none" w:sz="0" w:space="0" w:color="auto"/>
        <w:right w:val="none" w:sz="0" w:space="0" w:color="auto"/>
      </w:divBdr>
    </w:div>
    <w:div w:id="397442701">
      <w:marLeft w:val="0"/>
      <w:marRight w:val="0"/>
      <w:marTop w:val="10"/>
      <w:marBottom w:val="10"/>
      <w:divBdr>
        <w:top w:val="none" w:sz="0" w:space="0" w:color="auto"/>
        <w:left w:val="none" w:sz="0" w:space="0" w:color="auto"/>
        <w:bottom w:val="none" w:sz="0" w:space="0" w:color="auto"/>
        <w:right w:val="none" w:sz="0" w:space="0" w:color="auto"/>
      </w:divBdr>
    </w:div>
    <w:div w:id="436485109">
      <w:marLeft w:val="0"/>
      <w:marRight w:val="0"/>
      <w:marTop w:val="10"/>
      <w:marBottom w:val="10"/>
      <w:divBdr>
        <w:top w:val="none" w:sz="0" w:space="0" w:color="auto"/>
        <w:left w:val="none" w:sz="0" w:space="0" w:color="auto"/>
        <w:bottom w:val="none" w:sz="0" w:space="0" w:color="auto"/>
        <w:right w:val="none" w:sz="0" w:space="0" w:color="auto"/>
      </w:divBdr>
    </w:div>
    <w:div w:id="563301096">
      <w:marLeft w:val="0"/>
      <w:marRight w:val="0"/>
      <w:marTop w:val="10"/>
      <w:marBottom w:val="10"/>
      <w:divBdr>
        <w:top w:val="none" w:sz="0" w:space="0" w:color="auto"/>
        <w:left w:val="none" w:sz="0" w:space="0" w:color="auto"/>
        <w:bottom w:val="none" w:sz="0" w:space="0" w:color="auto"/>
        <w:right w:val="none" w:sz="0" w:space="0" w:color="auto"/>
      </w:divBdr>
    </w:div>
    <w:div w:id="692263749">
      <w:marLeft w:val="0"/>
      <w:marRight w:val="0"/>
      <w:marTop w:val="10"/>
      <w:marBottom w:val="10"/>
      <w:divBdr>
        <w:top w:val="none" w:sz="0" w:space="0" w:color="auto"/>
        <w:left w:val="none" w:sz="0" w:space="0" w:color="auto"/>
        <w:bottom w:val="none" w:sz="0" w:space="0" w:color="auto"/>
        <w:right w:val="none" w:sz="0" w:space="0" w:color="auto"/>
      </w:divBdr>
    </w:div>
    <w:div w:id="758719599">
      <w:marLeft w:val="0"/>
      <w:marRight w:val="0"/>
      <w:marTop w:val="10"/>
      <w:marBottom w:val="10"/>
      <w:divBdr>
        <w:top w:val="none" w:sz="0" w:space="0" w:color="auto"/>
        <w:left w:val="none" w:sz="0" w:space="0" w:color="auto"/>
        <w:bottom w:val="none" w:sz="0" w:space="0" w:color="auto"/>
        <w:right w:val="none" w:sz="0" w:space="0" w:color="auto"/>
      </w:divBdr>
    </w:div>
    <w:div w:id="1067193819">
      <w:marLeft w:val="0"/>
      <w:marRight w:val="720"/>
      <w:marTop w:val="10"/>
      <w:marBottom w:val="10"/>
      <w:divBdr>
        <w:top w:val="none" w:sz="0" w:space="0" w:color="auto"/>
        <w:left w:val="none" w:sz="0" w:space="0" w:color="auto"/>
        <w:bottom w:val="none" w:sz="0" w:space="0" w:color="auto"/>
        <w:right w:val="none" w:sz="0" w:space="0" w:color="auto"/>
      </w:divBdr>
    </w:div>
    <w:div w:id="1097336114">
      <w:marLeft w:val="0"/>
      <w:marRight w:val="0"/>
      <w:marTop w:val="10"/>
      <w:marBottom w:val="10"/>
      <w:divBdr>
        <w:top w:val="none" w:sz="0" w:space="0" w:color="auto"/>
        <w:left w:val="none" w:sz="0" w:space="0" w:color="auto"/>
        <w:bottom w:val="none" w:sz="0" w:space="0" w:color="auto"/>
        <w:right w:val="none" w:sz="0" w:space="0" w:color="auto"/>
      </w:divBdr>
    </w:div>
    <w:div w:id="1107850733">
      <w:marLeft w:val="0"/>
      <w:marRight w:val="0"/>
      <w:marTop w:val="10"/>
      <w:marBottom w:val="10"/>
      <w:divBdr>
        <w:top w:val="none" w:sz="0" w:space="0" w:color="auto"/>
        <w:left w:val="none" w:sz="0" w:space="0" w:color="auto"/>
        <w:bottom w:val="none" w:sz="0" w:space="0" w:color="auto"/>
        <w:right w:val="none" w:sz="0" w:space="0" w:color="auto"/>
      </w:divBdr>
    </w:div>
    <w:div w:id="1118643009">
      <w:marLeft w:val="0"/>
      <w:marRight w:val="720"/>
      <w:marTop w:val="10"/>
      <w:marBottom w:val="10"/>
      <w:divBdr>
        <w:top w:val="none" w:sz="0" w:space="0" w:color="auto"/>
        <w:left w:val="none" w:sz="0" w:space="0" w:color="auto"/>
        <w:bottom w:val="none" w:sz="0" w:space="0" w:color="auto"/>
        <w:right w:val="none" w:sz="0" w:space="0" w:color="auto"/>
      </w:divBdr>
    </w:div>
    <w:div w:id="1363673311">
      <w:marLeft w:val="0"/>
      <w:marRight w:val="0"/>
      <w:marTop w:val="10"/>
      <w:marBottom w:val="10"/>
      <w:divBdr>
        <w:top w:val="none" w:sz="0" w:space="0" w:color="auto"/>
        <w:left w:val="none" w:sz="0" w:space="0" w:color="auto"/>
        <w:bottom w:val="none" w:sz="0" w:space="0" w:color="auto"/>
        <w:right w:val="none" w:sz="0" w:space="0" w:color="auto"/>
      </w:divBdr>
    </w:div>
    <w:div w:id="1426726250">
      <w:marLeft w:val="0"/>
      <w:marRight w:val="0"/>
      <w:marTop w:val="10"/>
      <w:marBottom w:val="10"/>
      <w:divBdr>
        <w:top w:val="none" w:sz="0" w:space="0" w:color="auto"/>
        <w:left w:val="none" w:sz="0" w:space="0" w:color="auto"/>
        <w:bottom w:val="none" w:sz="0" w:space="0" w:color="auto"/>
        <w:right w:val="none" w:sz="0" w:space="0" w:color="auto"/>
      </w:divBdr>
    </w:div>
    <w:div w:id="1430615915">
      <w:marLeft w:val="0"/>
      <w:marRight w:val="0"/>
      <w:marTop w:val="10"/>
      <w:marBottom w:val="10"/>
      <w:divBdr>
        <w:top w:val="none" w:sz="0" w:space="0" w:color="auto"/>
        <w:left w:val="none" w:sz="0" w:space="0" w:color="auto"/>
        <w:bottom w:val="none" w:sz="0" w:space="0" w:color="auto"/>
        <w:right w:val="none" w:sz="0" w:space="0" w:color="auto"/>
      </w:divBdr>
    </w:div>
    <w:div w:id="1485270966">
      <w:marLeft w:val="0"/>
      <w:marRight w:val="0"/>
      <w:marTop w:val="10"/>
      <w:marBottom w:val="10"/>
      <w:divBdr>
        <w:top w:val="none" w:sz="0" w:space="0" w:color="auto"/>
        <w:left w:val="none" w:sz="0" w:space="0" w:color="auto"/>
        <w:bottom w:val="none" w:sz="0" w:space="0" w:color="auto"/>
        <w:right w:val="none" w:sz="0" w:space="0" w:color="auto"/>
      </w:divBdr>
    </w:div>
    <w:div w:id="1583833686">
      <w:marLeft w:val="0"/>
      <w:marRight w:val="0"/>
      <w:marTop w:val="10"/>
      <w:marBottom w:val="10"/>
      <w:divBdr>
        <w:top w:val="none" w:sz="0" w:space="0" w:color="auto"/>
        <w:left w:val="none" w:sz="0" w:space="0" w:color="auto"/>
        <w:bottom w:val="none" w:sz="0" w:space="0" w:color="auto"/>
        <w:right w:val="none" w:sz="0" w:space="0" w:color="auto"/>
      </w:divBdr>
    </w:div>
    <w:div w:id="1741561833">
      <w:marLeft w:val="0"/>
      <w:marRight w:val="0"/>
      <w:marTop w:val="10"/>
      <w:marBottom w:val="10"/>
      <w:divBdr>
        <w:top w:val="none" w:sz="0" w:space="0" w:color="auto"/>
        <w:left w:val="none" w:sz="0" w:space="0" w:color="auto"/>
        <w:bottom w:val="none" w:sz="0" w:space="0" w:color="auto"/>
        <w:right w:val="none" w:sz="0" w:space="0" w:color="auto"/>
      </w:divBdr>
    </w:div>
    <w:div w:id="2012218409">
      <w:marLeft w:val="0"/>
      <w:marRight w:val="0"/>
      <w:marTop w:val="10"/>
      <w:marBottom w:val="10"/>
      <w:divBdr>
        <w:top w:val="none" w:sz="0" w:space="0" w:color="auto"/>
        <w:left w:val="none" w:sz="0" w:space="0" w:color="auto"/>
        <w:bottom w:val="none" w:sz="0" w:space="0" w:color="auto"/>
        <w:right w:val="none" w:sz="0" w:space="0" w:color="auto"/>
      </w:divBdr>
    </w:div>
    <w:div w:id="206374466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