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4697B">
      <w:pPr>
        <w:spacing w:line="500" w:lineRule="atLeast"/>
        <w:jc w:val="center"/>
        <w:divId w:val="1949772315"/>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A4697B">
      <w:pPr>
        <w:spacing w:line="500" w:lineRule="atLeast"/>
        <w:jc w:val="center"/>
        <w:divId w:val="15480311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4697B">
      <w:pPr>
        <w:spacing w:line="500" w:lineRule="atLeast"/>
        <w:jc w:val="right"/>
        <w:divId w:val="1104763637"/>
        <w:rPr>
          <w:rFonts w:hint="eastAsia"/>
          <w:sz w:val="30"/>
          <w:szCs w:val="30"/>
        </w:rPr>
      </w:pPr>
      <w:r>
        <w:rPr>
          <w:rFonts w:hint="eastAsia"/>
          <w:sz w:val="30"/>
          <w:szCs w:val="30"/>
        </w:rPr>
        <w:t>（</w:t>
      </w:r>
      <w:r>
        <w:rPr>
          <w:rFonts w:hint="eastAsia"/>
          <w:sz w:val="30"/>
          <w:szCs w:val="30"/>
        </w:rPr>
        <w:t>2019</w:t>
      </w:r>
      <w:r>
        <w:rPr>
          <w:rFonts w:hint="eastAsia"/>
          <w:sz w:val="30"/>
          <w:szCs w:val="30"/>
        </w:rPr>
        <w:t>）冀民申</w:t>
      </w:r>
      <w:r>
        <w:rPr>
          <w:rFonts w:hint="eastAsia"/>
          <w:sz w:val="30"/>
          <w:szCs w:val="30"/>
        </w:rPr>
        <w:t>8952</w:t>
      </w:r>
      <w:r>
        <w:rPr>
          <w:rFonts w:hint="eastAsia"/>
          <w:sz w:val="30"/>
          <w:szCs w:val="30"/>
        </w:rPr>
        <w:t>号</w:t>
      </w:r>
    </w:p>
    <w:p w:rsidR="00000000" w:rsidRDefault="00A4697B">
      <w:pPr>
        <w:spacing w:line="500" w:lineRule="atLeast"/>
        <w:ind w:firstLine="600"/>
        <w:divId w:val="268708689"/>
        <w:rPr>
          <w:rFonts w:hint="eastAsia"/>
          <w:sz w:val="30"/>
          <w:szCs w:val="30"/>
        </w:rPr>
      </w:pPr>
      <w:r>
        <w:rPr>
          <w:rFonts w:hint="eastAsia"/>
          <w:sz w:val="30"/>
          <w:szCs w:val="30"/>
        </w:rPr>
        <w:t>再审申请人（一审原告、二审上诉人）：史卫肖，男，</w:t>
      </w:r>
      <w:r>
        <w:rPr>
          <w:rFonts w:hint="eastAsia"/>
          <w:sz w:val="30"/>
          <w:szCs w:val="30"/>
        </w:rPr>
        <w:t>1991</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日出生，汉族，现住天津市和平区。</w:t>
      </w:r>
    </w:p>
    <w:p w:rsidR="00000000" w:rsidRDefault="00A4697B">
      <w:pPr>
        <w:spacing w:line="500" w:lineRule="atLeast"/>
        <w:ind w:firstLine="600"/>
        <w:divId w:val="1162163820"/>
        <w:rPr>
          <w:rFonts w:hint="eastAsia"/>
          <w:sz w:val="30"/>
          <w:szCs w:val="30"/>
        </w:rPr>
      </w:pPr>
      <w:r>
        <w:rPr>
          <w:rFonts w:hint="eastAsia"/>
          <w:sz w:val="30"/>
          <w:szCs w:val="30"/>
        </w:rPr>
        <w:t>委托诉讼代理人：李莉，北京市尚公（石家庄）律师事务所律师。</w:t>
      </w:r>
    </w:p>
    <w:p w:rsidR="00000000" w:rsidRDefault="00A4697B">
      <w:pPr>
        <w:spacing w:line="500" w:lineRule="atLeast"/>
        <w:ind w:firstLine="600"/>
        <w:divId w:val="1458449317"/>
        <w:rPr>
          <w:rFonts w:hint="eastAsia"/>
          <w:sz w:val="30"/>
          <w:szCs w:val="30"/>
        </w:rPr>
      </w:pPr>
      <w:r>
        <w:rPr>
          <w:rFonts w:hint="eastAsia"/>
          <w:sz w:val="30"/>
          <w:szCs w:val="30"/>
        </w:rPr>
        <w:t>被申请人（一审被告、二审上诉人）：阜城县人民医院，住所地河北省衡水市阜城县阜城镇人民东路</w:t>
      </w:r>
      <w:r>
        <w:rPr>
          <w:rFonts w:hint="eastAsia"/>
          <w:sz w:val="30"/>
          <w:szCs w:val="30"/>
        </w:rPr>
        <w:t>70</w:t>
      </w:r>
      <w:r>
        <w:rPr>
          <w:rFonts w:hint="eastAsia"/>
          <w:sz w:val="30"/>
          <w:szCs w:val="30"/>
        </w:rPr>
        <w:t>号。</w:t>
      </w:r>
    </w:p>
    <w:p w:rsidR="00000000" w:rsidRDefault="00A4697B">
      <w:pPr>
        <w:spacing w:line="500" w:lineRule="atLeast"/>
        <w:ind w:firstLine="600"/>
        <w:divId w:val="1562715343"/>
        <w:rPr>
          <w:rFonts w:hint="eastAsia"/>
          <w:sz w:val="30"/>
          <w:szCs w:val="30"/>
        </w:rPr>
      </w:pPr>
      <w:r>
        <w:rPr>
          <w:rFonts w:hint="eastAsia"/>
          <w:sz w:val="30"/>
          <w:szCs w:val="30"/>
        </w:rPr>
        <w:t>法定代表人：高向欣，该院院长。</w:t>
      </w:r>
    </w:p>
    <w:p w:rsidR="00000000" w:rsidRDefault="00A4697B">
      <w:pPr>
        <w:spacing w:line="500" w:lineRule="atLeast"/>
        <w:ind w:firstLine="600"/>
        <w:divId w:val="433020465"/>
        <w:rPr>
          <w:rFonts w:hint="eastAsia"/>
          <w:sz w:val="30"/>
          <w:szCs w:val="30"/>
        </w:rPr>
      </w:pPr>
      <w:r>
        <w:rPr>
          <w:rFonts w:hint="eastAsia"/>
          <w:sz w:val="30"/>
          <w:szCs w:val="30"/>
        </w:rPr>
        <w:t>委托诉讼代理人：常东侠，该院职工。</w:t>
      </w:r>
    </w:p>
    <w:p w:rsidR="00000000" w:rsidRDefault="00A4697B">
      <w:pPr>
        <w:spacing w:line="500" w:lineRule="atLeast"/>
        <w:ind w:firstLine="600"/>
        <w:divId w:val="760026976"/>
        <w:rPr>
          <w:rFonts w:hint="eastAsia"/>
          <w:sz w:val="30"/>
          <w:szCs w:val="30"/>
        </w:rPr>
      </w:pPr>
      <w:r>
        <w:rPr>
          <w:rFonts w:hint="eastAsia"/>
          <w:sz w:val="30"/>
          <w:szCs w:val="30"/>
        </w:rPr>
        <w:t>委托诉讼代理人：支国玉，该院职工。</w:t>
      </w:r>
    </w:p>
    <w:p w:rsidR="00000000" w:rsidRDefault="00A4697B">
      <w:pPr>
        <w:spacing w:line="500" w:lineRule="atLeast"/>
        <w:ind w:firstLine="600"/>
        <w:divId w:val="1579904469"/>
        <w:rPr>
          <w:rFonts w:hint="eastAsia"/>
          <w:sz w:val="30"/>
          <w:szCs w:val="30"/>
        </w:rPr>
      </w:pPr>
      <w:r>
        <w:rPr>
          <w:rFonts w:hint="eastAsia"/>
          <w:sz w:val="30"/>
          <w:szCs w:val="30"/>
        </w:rPr>
        <w:t>再审申请人史卫肖因与被申请人阜城县人民医院医疗损害责任纠纷一案，不服河北省衡水市中级人民法院（</w:t>
      </w:r>
      <w:r>
        <w:rPr>
          <w:rFonts w:hint="eastAsia"/>
          <w:sz w:val="30"/>
          <w:szCs w:val="30"/>
        </w:rPr>
        <w:t>2019</w:t>
      </w:r>
      <w:r>
        <w:rPr>
          <w:rFonts w:hint="eastAsia"/>
          <w:sz w:val="30"/>
          <w:szCs w:val="30"/>
        </w:rPr>
        <w:t>）冀</w:t>
      </w:r>
      <w:r>
        <w:rPr>
          <w:rFonts w:hint="eastAsia"/>
          <w:sz w:val="30"/>
          <w:szCs w:val="30"/>
        </w:rPr>
        <w:t>11</w:t>
      </w:r>
      <w:r>
        <w:rPr>
          <w:rFonts w:hint="eastAsia"/>
          <w:sz w:val="30"/>
          <w:szCs w:val="30"/>
        </w:rPr>
        <w:t>民终</w:t>
      </w:r>
      <w:r>
        <w:rPr>
          <w:rFonts w:hint="eastAsia"/>
          <w:sz w:val="30"/>
          <w:szCs w:val="30"/>
        </w:rPr>
        <w:t>23</w:t>
      </w:r>
      <w:r>
        <w:rPr>
          <w:rFonts w:hint="eastAsia"/>
          <w:sz w:val="30"/>
          <w:szCs w:val="30"/>
        </w:rPr>
        <w:t>号民事判决，向本院申请再审。本院依法组成合议庭进行了审查，现已审查终结。</w:t>
      </w:r>
    </w:p>
    <w:p w:rsidR="00000000" w:rsidRDefault="00A4697B">
      <w:pPr>
        <w:spacing w:line="500" w:lineRule="atLeast"/>
        <w:ind w:firstLine="600"/>
        <w:divId w:val="955524569"/>
        <w:rPr>
          <w:rFonts w:hint="eastAsia"/>
          <w:sz w:val="30"/>
          <w:szCs w:val="30"/>
        </w:rPr>
      </w:pPr>
      <w:r>
        <w:rPr>
          <w:rFonts w:hint="eastAsia"/>
          <w:sz w:val="30"/>
          <w:szCs w:val="30"/>
        </w:rPr>
        <w:t>史卫肖申请再审称：</w:t>
      </w:r>
      <w:r>
        <w:rPr>
          <w:rFonts w:hint="eastAsia"/>
          <w:sz w:val="30"/>
          <w:szCs w:val="30"/>
        </w:rPr>
        <w:t>1</w:t>
      </w:r>
      <w:r>
        <w:rPr>
          <w:rFonts w:hint="eastAsia"/>
          <w:sz w:val="30"/>
          <w:szCs w:val="30"/>
        </w:rPr>
        <w:t>、因被申请人的过错诊疗行为，致使申请人身体至今尚未康复，申请人体内至今存在包块，且手术切口处于未愈合的状态，申请人要忍受被申请人过错诊疗行为带给申请人的身体及精神伤害。</w:t>
      </w:r>
      <w:r>
        <w:rPr>
          <w:rFonts w:hint="eastAsia"/>
          <w:sz w:val="30"/>
          <w:szCs w:val="30"/>
        </w:rPr>
        <w:t>2</w:t>
      </w:r>
      <w:r>
        <w:rPr>
          <w:rFonts w:hint="eastAsia"/>
          <w:sz w:val="30"/>
          <w:szCs w:val="30"/>
        </w:rPr>
        <w:t>、原审未按照《鉴定意见书》的鉴定意见裁判。《鉴定意见书》表明：被申请人存在误诊、延迟诊断、延迟手术、手术不规范等过错诊疗行为，故鉴</w:t>
      </w:r>
      <w:r>
        <w:rPr>
          <w:rFonts w:hint="eastAsia"/>
          <w:sz w:val="30"/>
          <w:szCs w:val="30"/>
        </w:rPr>
        <w:t>定意见为：“被申请人的诊疗行为与申请人的原因力及因果关系为同等至主要”。因此申请人认为，应当依法裁判被申请人对其过错诊疗行为承担</w:t>
      </w:r>
      <w:r>
        <w:rPr>
          <w:rFonts w:hint="eastAsia"/>
          <w:sz w:val="30"/>
          <w:szCs w:val="30"/>
        </w:rPr>
        <w:t>95%</w:t>
      </w:r>
      <w:r>
        <w:rPr>
          <w:rFonts w:hint="eastAsia"/>
          <w:sz w:val="30"/>
          <w:szCs w:val="30"/>
        </w:rPr>
        <w:t>的赔偿责任。</w:t>
      </w:r>
      <w:r>
        <w:rPr>
          <w:rFonts w:hint="eastAsia"/>
          <w:sz w:val="30"/>
          <w:szCs w:val="30"/>
        </w:rPr>
        <w:t>3</w:t>
      </w:r>
      <w:r>
        <w:rPr>
          <w:rFonts w:hint="eastAsia"/>
          <w:sz w:val="30"/>
          <w:szCs w:val="30"/>
        </w:rPr>
        <w:t>、申请人在天津市从事建筑行业多年，一审、二审法院却罔顾事实，仅按照天津市城镇常住居民人均年可支配收入计算，没有保护申请人的合法权</w:t>
      </w:r>
      <w:r>
        <w:rPr>
          <w:rFonts w:hint="eastAsia"/>
          <w:sz w:val="30"/>
          <w:szCs w:val="30"/>
        </w:rPr>
        <w:lastRenderedPageBreak/>
        <w:t>益，应按照天津市建筑业收入标准即</w:t>
      </w:r>
      <w:r>
        <w:rPr>
          <w:rFonts w:hint="eastAsia"/>
          <w:sz w:val="30"/>
          <w:szCs w:val="30"/>
        </w:rPr>
        <w:t>73866</w:t>
      </w:r>
      <w:r>
        <w:rPr>
          <w:rFonts w:hint="eastAsia"/>
          <w:sz w:val="30"/>
          <w:szCs w:val="30"/>
        </w:rPr>
        <w:t>元／年计算、支持申请人的误工费。</w:t>
      </w:r>
      <w:r>
        <w:rPr>
          <w:rFonts w:hint="eastAsia"/>
          <w:sz w:val="30"/>
          <w:szCs w:val="30"/>
        </w:rPr>
        <w:t>4</w:t>
      </w:r>
      <w:r>
        <w:rPr>
          <w:rFonts w:hint="eastAsia"/>
          <w:sz w:val="30"/>
          <w:szCs w:val="30"/>
        </w:rPr>
        <w:t>、由于被申请人的侵权行为，导致申请人至今伤口未愈，严重影响申请人的正常生活，给申请人造成了精神损害，并造成了严重的后果。应当依法支持申请人的精神损害抚慰金的诉求</w:t>
      </w:r>
      <w:r>
        <w:rPr>
          <w:rFonts w:hint="eastAsia"/>
          <w:sz w:val="30"/>
          <w:szCs w:val="30"/>
        </w:rPr>
        <w:t>。</w:t>
      </w:r>
    </w:p>
    <w:p w:rsidR="00000000" w:rsidRDefault="00A4697B">
      <w:pPr>
        <w:spacing w:line="500" w:lineRule="atLeast"/>
        <w:ind w:firstLine="600"/>
        <w:divId w:val="394622479"/>
        <w:rPr>
          <w:rFonts w:hint="eastAsia"/>
          <w:sz w:val="30"/>
          <w:szCs w:val="30"/>
        </w:rPr>
      </w:pPr>
      <w:r>
        <w:rPr>
          <w:rFonts w:hint="eastAsia"/>
          <w:sz w:val="30"/>
          <w:szCs w:val="30"/>
        </w:rPr>
        <w:t>本院经审查认为，一审法院在审理本案过程中，经史卫肖申请，委托鉴定机构对阜城县人民医院的诊疗行为是否存在过错、医方过错与史卫肖的损害后果之间有无因果关系及原因力大小进行了鉴定。北京明正司法鉴定中心出具鉴定意见为：“阜城县人民医院对被鉴定人史卫肖的诊疗行为存在过错，过错与其切口感染及延迟愈合之间存在因果关系，鉴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日凌晨未行手术治疗的原因存在不确定性，建议原因力大小为同等至主要；误工期</w:t>
      </w:r>
      <w:r>
        <w:rPr>
          <w:rFonts w:hint="eastAsia"/>
          <w:sz w:val="30"/>
          <w:szCs w:val="30"/>
        </w:rPr>
        <w:t>180</w:t>
      </w:r>
      <w:r>
        <w:rPr>
          <w:rFonts w:hint="eastAsia"/>
          <w:sz w:val="30"/>
          <w:szCs w:val="30"/>
        </w:rPr>
        <w:t>日、护理期</w:t>
      </w:r>
      <w:r>
        <w:rPr>
          <w:rFonts w:hint="eastAsia"/>
          <w:sz w:val="30"/>
          <w:szCs w:val="30"/>
        </w:rPr>
        <w:t>120</w:t>
      </w:r>
      <w:r>
        <w:rPr>
          <w:rFonts w:hint="eastAsia"/>
          <w:sz w:val="30"/>
          <w:szCs w:val="30"/>
        </w:rPr>
        <w:t>日、营养期</w:t>
      </w:r>
      <w:r>
        <w:rPr>
          <w:rFonts w:hint="eastAsia"/>
          <w:sz w:val="30"/>
          <w:szCs w:val="30"/>
        </w:rPr>
        <w:t>120</w:t>
      </w:r>
      <w:r>
        <w:rPr>
          <w:rFonts w:hint="eastAsia"/>
          <w:sz w:val="30"/>
          <w:szCs w:val="30"/>
        </w:rPr>
        <w:t>日”。原审参照该鉴定意见认定阜城县人民医院的诊疗行为存在过错，并承担赔偿</w:t>
      </w:r>
      <w:r>
        <w:rPr>
          <w:rFonts w:hint="eastAsia"/>
          <w:sz w:val="30"/>
          <w:szCs w:val="30"/>
        </w:rPr>
        <w:t>责任，并无不当。史卫肖的自身病情与本次事故的发生亦存在因果关系，原审认定阜城县人民医院承担</w:t>
      </w:r>
      <w:r>
        <w:rPr>
          <w:rFonts w:hint="eastAsia"/>
          <w:sz w:val="30"/>
          <w:szCs w:val="30"/>
        </w:rPr>
        <w:t>70%</w:t>
      </w:r>
      <w:r>
        <w:rPr>
          <w:rFonts w:hint="eastAsia"/>
          <w:sz w:val="30"/>
          <w:szCs w:val="30"/>
        </w:rPr>
        <w:t>赔偿责任，亦无不当。史卫肖主张阜城县人民医院应承担</w:t>
      </w:r>
      <w:r>
        <w:rPr>
          <w:rFonts w:hint="eastAsia"/>
          <w:sz w:val="30"/>
          <w:szCs w:val="30"/>
        </w:rPr>
        <w:t>95%</w:t>
      </w:r>
      <w:r>
        <w:rPr>
          <w:rFonts w:hint="eastAsia"/>
          <w:sz w:val="30"/>
          <w:szCs w:val="30"/>
        </w:rPr>
        <w:t>赔偿责任，缺乏理据，本院不予支持。史卫肖主张误工费应按天津市建筑业标准计算，但其未提供充分的证据予以证明，原审未予支持，并无不妥。阜城县人民医院对本案医疗事故的发生虽然存在过错，但并未造成严重后果，史卫肖关于精神损害抚慰金的主张缺乏理据，原审未予支持，亦无不妥。</w:t>
      </w:r>
    </w:p>
    <w:p w:rsidR="00000000" w:rsidRDefault="00A4697B">
      <w:pPr>
        <w:spacing w:line="500" w:lineRule="atLeast"/>
        <w:ind w:firstLine="600"/>
        <w:divId w:val="1093208732"/>
        <w:rPr>
          <w:rFonts w:hint="eastAsia"/>
          <w:sz w:val="30"/>
          <w:szCs w:val="30"/>
        </w:rPr>
      </w:pPr>
      <w:r>
        <w:rPr>
          <w:rFonts w:hint="eastAsia"/>
          <w:sz w:val="30"/>
          <w:szCs w:val="30"/>
        </w:rPr>
        <w:t>综上所述，史卫肖的再审申请不符合《中华人民共和国民事诉讼法》第二百条规定的再审情形。依照《中华人</w:t>
      </w:r>
      <w:r>
        <w:rPr>
          <w:rFonts w:hint="eastAsia"/>
          <w:sz w:val="30"/>
          <w:szCs w:val="30"/>
        </w:rPr>
        <w:t>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A4697B">
      <w:pPr>
        <w:spacing w:line="500" w:lineRule="atLeast"/>
        <w:ind w:firstLine="600"/>
        <w:divId w:val="274948291"/>
        <w:rPr>
          <w:rFonts w:hint="eastAsia"/>
          <w:sz w:val="30"/>
          <w:szCs w:val="30"/>
        </w:rPr>
      </w:pPr>
      <w:r>
        <w:rPr>
          <w:rFonts w:hint="eastAsia"/>
          <w:sz w:val="30"/>
          <w:szCs w:val="30"/>
        </w:rPr>
        <w:t>驳回史卫肖的再审申请。</w:t>
      </w:r>
    </w:p>
    <w:p w:rsidR="00000000" w:rsidRDefault="00A4697B">
      <w:pPr>
        <w:spacing w:line="500" w:lineRule="atLeast"/>
        <w:jc w:val="right"/>
        <w:divId w:val="778914531"/>
        <w:rPr>
          <w:rFonts w:hint="eastAsia"/>
          <w:sz w:val="30"/>
          <w:szCs w:val="30"/>
        </w:rPr>
      </w:pPr>
      <w:r>
        <w:rPr>
          <w:rFonts w:hint="eastAsia"/>
          <w:sz w:val="30"/>
          <w:szCs w:val="30"/>
        </w:rPr>
        <w:lastRenderedPageBreak/>
        <w:t>审判长　　张新峰</w:t>
      </w:r>
    </w:p>
    <w:p w:rsidR="00000000" w:rsidRDefault="00A4697B">
      <w:pPr>
        <w:spacing w:line="500" w:lineRule="atLeast"/>
        <w:jc w:val="right"/>
        <w:divId w:val="363214139"/>
        <w:rPr>
          <w:rFonts w:hint="eastAsia"/>
          <w:sz w:val="30"/>
          <w:szCs w:val="30"/>
        </w:rPr>
      </w:pPr>
      <w:r>
        <w:rPr>
          <w:rFonts w:hint="eastAsia"/>
          <w:sz w:val="30"/>
          <w:szCs w:val="30"/>
        </w:rPr>
        <w:t>审判员　　邢荣允</w:t>
      </w:r>
    </w:p>
    <w:p w:rsidR="00000000" w:rsidRDefault="00A4697B">
      <w:pPr>
        <w:spacing w:line="500" w:lineRule="atLeast"/>
        <w:jc w:val="right"/>
        <w:divId w:val="1081827912"/>
        <w:rPr>
          <w:rFonts w:hint="eastAsia"/>
          <w:sz w:val="30"/>
          <w:szCs w:val="30"/>
        </w:rPr>
      </w:pPr>
      <w:r>
        <w:rPr>
          <w:rFonts w:hint="eastAsia"/>
          <w:sz w:val="30"/>
          <w:szCs w:val="30"/>
        </w:rPr>
        <w:t>审判员　　王　倩</w:t>
      </w:r>
    </w:p>
    <w:p w:rsidR="00000000" w:rsidRDefault="00A4697B">
      <w:pPr>
        <w:spacing w:line="500" w:lineRule="atLeast"/>
        <w:jc w:val="right"/>
        <w:divId w:val="306521686"/>
        <w:rPr>
          <w:rFonts w:hint="eastAsia"/>
          <w:sz w:val="30"/>
          <w:szCs w:val="30"/>
        </w:rPr>
      </w:pPr>
      <w:r>
        <w:rPr>
          <w:rFonts w:hint="eastAsia"/>
          <w:sz w:val="30"/>
          <w:szCs w:val="30"/>
        </w:rPr>
        <w:t>二〇一九年十二月二十日</w:t>
      </w:r>
    </w:p>
    <w:p w:rsidR="00000000" w:rsidRDefault="00A4697B">
      <w:pPr>
        <w:spacing w:line="500" w:lineRule="atLeast"/>
        <w:jc w:val="right"/>
        <w:divId w:val="1267887721"/>
        <w:rPr>
          <w:rFonts w:hint="eastAsia"/>
          <w:sz w:val="30"/>
          <w:szCs w:val="30"/>
        </w:rPr>
      </w:pPr>
      <w:r>
        <w:rPr>
          <w:rFonts w:hint="eastAsia"/>
          <w:sz w:val="30"/>
          <w:szCs w:val="30"/>
        </w:rPr>
        <w:t>书记员　　苗　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97B" w:rsidRDefault="00A4697B" w:rsidP="00A4697B">
      <w:r>
        <w:separator/>
      </w:r>
    </w:p>
  </w:endnote>
  <w:endnote w:type="continuationSeparator" w:id="0">
    <w:p w:rsidR="00A4697B" w:rsidRDefault="00A4697B" w:rsidP="00A4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97B" w:rsidRDefault="00A4697B" w:rsidP="00A4697B">
      <w:r>
        <w:separator/>
      </w:r>
    </w:p>
  </w:footnote>
  <w:footnote w:type="continuationSeparator" w:id="0">
    <w:p w:rsidR="00A4697B" w:rsidRDefault="00A4697B" w:rsidP="00A469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697B"/>
    <w:rsid w:val="00A46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469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97B"/>
    <w:rPr>
      <w:rFonts w:ascii="宋体" w:eastAsia="宋体" w:hAnsi="宋体" w:cs="宋体"/>
      <w:sz w:val="18"/>
      <w:szCs w:val="18"/>
    </w:rPr>
  </w:style>
  <w:style w:type="paragraph" w:styleId="a5">
    <w:name w:val="footer"/>
    <w:basedOn w:val="a"/>
    <w:link w:val="a6"/>
    <w:uiPriority w:val="99"/>
    <w:unhideWhenUsed/>
    <w:rsid w:val="00A4697B"/>
    <w:pPr>
      <w:tabs>
        <w:tab w:val="center" w:pos="4153"/>
        <w:tab w:val="right" w:pos="8306"/>
      </w:tabs>
      <w:snapToGrid w:val="0"/>
    </w:pPr>
    <w:rPr>
      <w:sz w:val="18"/>
      <w:szCs w:val="18"/>
    </w:rPr>
  </w:style>
  <w:style w:type="character" w:customStyle="1" w:styleId="a6">
    <w:name w:val="页脚 字符"/>
    <w:basedOn w:val="a0"/>
    <w:link w:val="a5"/>
    <w:uiPriority w:val="99"/>
    <w:rsid w:val="00A469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8689">
      <w:marLeft w:val="0"/>
      <w:marRight w:val="0"/>
      <w:marTop w:val="10"/>
      <w:marBottom w:val="10"/>
      <w:divBdr>
        <w:top w:val="none" w:sz="0" w:space="0" w:color="auto"/>
        <w:left w:val="none" w:sz="0" w:space="0" w:color="auto"/>
        <w:bottom w:val="none" w:sz="0" w:space="0" w:color="auto"/>
        <w:right w:val="none" w:sz="0" w:space="0" w:color="auto"/>
      </w:divBdr>
    </w:div>
    <w:div w:id="274948291">
      <w:marLeft w:val="0"/>
      <w:marRight w:val="0"/>
      <w:marTop w:val="10"/>
      <w:marBottom w:val="10"/>
      <w:divBdr>
        <w:top w:val="none" w:sz="0" w:space="0" w:color="auto"/>
        <w:left w:val="none" w:sz="0" w:space="0" w:color="auto"/>
        <w:bottom w:val="none" w:sz="0" w:space="0" w:color="auto"/>
        <w:right w:val="none" w:sz="0" w:space="0" w:color="auto"/>
      </w:divBdr>
    </w:div>
    <w:div w:id="306521686">
      <w:marLeft w:val="0"/>
      <w:marRight w:val="720"/>
      <w:marTop w:val="10"/>
      <w:marBottom w:val="10"/>
      <w:divBdr>
        <w:top w:val="none" w:sz="0" w:space="0" w:color="auto"/>
        <w:left w:val="none" w:sz="0" w:space="0" w:color="auto"/>
        <w:bottom w:val="none" w:sz="0" w:space="0" w:color="auto"/>
        <w:right w:val="none" w:sz="0" w:space="0" w:color="auto"/>
      </w:divBdr>
    </w:div>
    <w:div w:id="363214139">
      <w:marLeft w:val="0"/>
      <w:marRight w:val="720"/>
      <w:marTop w:val="10"/>
      <w:marBottom w:val="10"/>
      <w:divBdr>
        <w:top w:val="none" w:sz="0" w:space="0" w:color="auto"/>
        <w:left w:val="none" w:sz="0" w:space="0" w:color="auto"/>
        <w:bottom w:val="none" w:sz="0" w:space="0" w:color="auto"/>
        <w:right w:val="none" w:sz="0" w:space="0" w:color="auto"/>
      </w:divBdr>
    </w:div>
    <w:div w:id="394622479">
      <w:marLeft w:val="0"/>
      <w:marRight w:val="0"/>
      <w:marTop w:val="10"/>
      <w:marBottom w:val="10"/>
      <w:divBdr>
        <w:top w:val="none" w:sz="0" w:space="0" w:color="auto"/>
        <w:left w:val="none" w:sz="0" w:space="0" w:color="auto"/>
        <w:bottom w:val="none" w:sz="0" w:space="0" w:color="auto"/>
        <w:right w:val="none" w:sz="0" w:space="0" w:color="auto"/>
      </w:divBdr>
    </w:div>
    <w:div w:id="433020465">
      <w:marLeft w:val="0"/>
      <w:marRight w:val="0"/>
      <w:marTop w:val="10"/>
      <w:marBottom w:val="10"/>
      <w:divBdr>
        <w:top w:val="none" w:sz="0" w:space="0" w:color="auto"/>
        <w:left w:val="none" w:sz="0" w:space="0" w:color="auto"/>
        <w:bottom w:val="none" w:sz="0" w:space="0" w:color="auto"/>
        <w:right w:val="none" w:sz="0" w:space="0" w:color="auto"/>
      </w:divBdr>
    </w:div>
    <w:div w:id="760026976">
      <w:marLeft w:val="0"/>
      <w:marRight w:val="0"/>
      <w:marTop w:val="10"/>
      <w:marBottom w:val="10"/>
      <w:divBdr>
        <w:top w:val="none" w:sz="0" w:space="0" w:color="auto"/>
        <w:left w:val="none" w:sz="0" w:space="0" w:color="auto"/>
        <w:bottom w:val="none" w:sz="0" w:space="0" w:color="auto"/>
        <w:right w:val="none" w:sz="0" w:space="0" w:color="auto"/>
      </w:divBdr>
    </w:div>
    <w:div w:id="778914531">
      <w:marLeft w:val="0"/>
      <w:marRight w:val="720"/>
      <w:marTop w:val="10"/>
      <w:marBottom w:val="10"/>
      <w:divBdr>
        <w:top w:val="none" w:sz="0" w:space="0" w:color="auto"/>
        <w:left w:val="none" w:sz="0" w:space="0" w:color="auto"/>
        <w:bottom w:val="none" w:sz="0" w:space="0" w:color="auto"/>
        <w:right w:val="none" w:sz="0" w:space="0" w:color="auto"/>
      </w:divBdr>
    </w:div>
    <w:div w:id="955524569">
      <w:marLeft w:val="0"/>
      <w:marRight w:val="0"/>
      <w:marTop w:val="10"/>
      <w:marBottom w:val="10"/>
      <w:divBdr>
        <w:top w:val="none" w:sz="0" w:space="0" w:color="auto"/>
        <w:left w:val="none" w:sz="0" w:space="0" w:color="auto"/>
        <w:bottom w:val="none" w:sz="0" w:space="0" w:color="auto"/>
        <w:right w:val="none" w:sz="0" w:space="0" w:color="auto"/>
      </w:divBdr>
    </w:div>
    <w:div w:id="1081827912">
      <w:marLeft w:val="0"/>
      <w:marRight w:val="720"/>
      <w:marTop w:val="10"/>
      <w:marBottom w:val="10"/>
      <w:divBdr>
        <w:top w:val="none" w:sz="0" w:space="0" w:color="auto"/>
        <w:left w:val="none" w:sz="0" w:space="0" w:color="auto"/>
        <w:bottom w:val="none" w:sz="0" w:space="0" w:color="auto"/>
        <w:right w:val="none" w:sz="0" w:space="0" w:color="auto"/>
      </w:divBdr>
    </w:div>
    <w:div w:id="1093208732">
      <w:marLeft w:val="0"/>
      <w:marRight w:val="0"/>
      <w:marTop w:val="10"/>
      <w:marBottom w:val="10"/>
      <w:divBdr>
        <w:top w:val="none" w:sz="0" w:space="0" w:color="auto"/>
        <w:left w:val="none" w:sz="0" w:space="0" w:color="auto"/>
        <w:bottom w:val="none" w:sz="0" w:space="0" w:color="auto"/>
        <w:right w:val="none" w:sz="0" w:space="0" w:color="auto"/>
      </w:divBdr>
    </w:div>
    <w:div w:id="1104763637">
      <w:marLeft w:val="0"/>
      <w:marRight w:val="0"/>
      <w:marTop w:val="10"/>
      <w:marBottom w:val="10"/>
      <w:divBdr>
        <w:top w:val="none" w:sz="0" w:space="0" w:color="auto"/>
        <w:left w:val="none" w:sz="0" w:space="0" w:color="auto"/>
        <w:bottom w:val="none" w:sz="0" w:space="0" w:color="auto"/>
        <w:right w:val="none" w:sz="0" w:space="0" w:color="auto"/>
      </w:divBdr>
    </w:div>
    <w:div w:id="1162163820">
      <w:marLeft w:val="0"/>
      <w:marRight w:val="0"/>
      <w:marTop w:val="10"/>
      <w:marBottom w:val="10"/>
      <w:divBdr>
        <w:top w:val="none" w:sz="0" w:space="0" w:color="auto"/>
        <w:left w:val="none" w:sz="0" w:space="0" w:color="auto"/>
        <w:bottom w:val="none" w:sz="0" w:space="0" w:color="auto"/>
        <w:right w:val="none" w:sz="0" w:space="0" w:color="auto"/>
      </w:divBdr>
    </w:div>
    <w:div w:id="1267887721">
      <w:marLeft w:val="0"/>
      <w:marRight w:val="720"/>
      <w:marTop w:val="10"/>
      <w:marBottom w:val="10"/>
      <w:divBdr>
        <w:top w:val="none" w:sz="0" w:space="0" w:color="auto"/>
        <w:left w:val="none" w:sz="0" w:space="0" w:color="auto"/>
        <w:bottom w:val="none" w:sz="0" w:space="0" w:color="auto"/>
        <w:right w:val="none" w:sz="0" w:space="0" w:color="auto"/>
      </w:divBdr>
    </w:div>
    <w:div w:id="1458449317">
      <w:marLeft w:val="0"/>
      <w:marRight w:val="0"/>
      <w:marTop w:val="10"/>
      <w:marBottom w:val="10"/>
      <w:divBdr>
        <w:top w:val="none" w:sz="0" w:space="0" w:color="auto"/>
        <w:left w:val="none" w:sz="0" w:space="0" w:color="auto"/>
        <w:bottom w:val="none" w:sz="0" w:space="0" w:color="auto"/>
        <w:right w:val="none" w:sz="0" w:space="0" w:color="auto"/>
      </w:divBdr>
    </w:div>
    <w:div w:id="1548031122">
      <w:marLeft w:val="0"/>
      <w:marRight w:val="0"/>
      <w:marTop w:val="10"/>
      <w:marBottom w:val="10"/>
      <w:divBdr>
        <w:top w:val="none" w:sz="0" w:space="0" w:color="auto"/>
        <w:left w:val="none" w:sz="0" w:space="0" w:color="auto"/>
        <w:bottom w:val="none" w:sz="0" w:space="0" w:color="auto"/>
        <w:right w:val="none" w:sz="0" w:space="0" w:color="auto"/>
      </w:divBdr>
    </w:div>
    <w:div w:id="1562715343">
      <w:marLeft w:val="0"/>
      <w:marRight w:val="0"/>
      <w:marTop w:val="10"/>
      <w:marBottom w:val="10"/>
      <w:divBdr>
        <w:top w:val="none" w:sz="0" w:space="0" w:color="auto"/>
        <w:left w:val="none" w:sz="0" w:space="0" w:color="auto"/>
        <w:bottom w:val="none" w:sz="0" w:space="0" w:color="auto"/>
        <w:right w:val="none" w:sz="0" w:space="0" w:color="auto"/>
      </w:divBdr>
    </w:div>
    <w:div w:id="1579904469">
      <w:marLeft w:val="0"/>
      <w:marRight w:val="0"/>
      <w:marTop w:val="10"/>
      <w:marBottom w:val="10"/>
      <w:divBdr>
        <w:top w:val="none" w:sz="0" w:space="0" w:color="auto"/>
        <w:left w:val="none" w:sz="0" w:space="0" w:color="auto"/>
        <w:bottom w:val="none" w:sz="0" w:space="0" w:color="auto"/>
        <w:right w:val="none" w:sz="0" w:space="0" w:color="auto"/>
      </w:divBdr>
    </w:div>
    <w:div w:id="19497723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