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31522">
      <w:pPr>
        <w:spacing w:line="500" w:lineRule="atLeast"/>
        <w:jc w:val="center"/>
        <w:divId w:val="1413241055"/>
        <w:rPr>
          <w:rFonts w:ascii="黑体" w:eastAsia="黑体" w:hAnsi="黑体"/>
          <w:sz w:val="36"/>
          <w:szCs w:val="36"/>
        </w:rPr>
      </w:pPr>
      <w:bookmarkStart w:id="0" w:name="_GoBack"/>
      <w:bookmarkEnd w:id="0"/>
      <w:r>
        <w:rPr>
          <w:rFonts w:ascii="黑体" w:eastAsia="黑体" w:hAnsi="黑体" w:hint="eastAsia"/>
          <w:sz w:val="36"/>
          <w:szCs w:val="36"/>
        </w:rPr>
        <w:t>广东省高级人民法院</w:t>
      </w:r>
    </w:p>
    <w:p w:rsidR="00000000" w:rsidRDefault="00631522">
      <w:pPr>
        <w:spacing w:line="500" w:lineRule="atLeast"/>
        <w:jc w:val="center"/>
        <w:divId w:val="13811253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631522">
      <w:pPr>
        <w:spacing w:line="500" w:lineRule="atLeast"/>
        <w:jc w:val="right"/>
        <w:divId w:val="1723822979"/>
        <w:rPr>
          <w:rFonts w:hint="eastAsia"/>
          <w:sz w:val="30"/>
          <w:szCs w:val="30"/>
        </w:rPr>
      </w:pPr>
      <w:r>
        <w:rPr>
          <w:rFonts w:hint="eastAsia"/>
          <w:sz w:val="30"/>
          <w:szCs w:val="30"/>
        </w:rPr>
        <w:t>（</w:t>
      </w:r>
      <w:r>
        <w:rPr>
          <w:rFonts w:hint="eastAsia"/>
          <w:sz w:val="30"/>
          <w:szCs w:val="30"/>
        </w:rPr>
        <w:t>2019</w:t>
      </w:r>
      <w:r>
        <w:rPr>
          <w:rFonts w:hint="eastAsia"/>
          <w:sz w:val="30"/>
          <w:szCs w:val="30"/>
        </w:rPr>
        <w:t>）粤民申</w:t>
      </w:r>
      <w:r>
        <w:rPr>
          <w:rFonts w:hint="eastAsia"/>
          <w:sz w:val="30"/>
          <w:szCs w:val="30"/>
        </w:rPr>
        <w:t>5496</w:t>
      </w:r>
      <w:r>
        <w:rPr>
          <w:rFonts w:hint="eastAsia"/>
          <w:sz w:val="30"/>
          <w:szCs w:val="30"/>
        </w:rPr>
        <w:t>号</w:t>
      </w:r>
    </w:p>
    <w:p w:rsidR="00000000" w:rsidRDefault="00631522">
      <w:pPr>
        <w:spacing w:line="500" w:lineRule="atLeast"/>
        <w:ind w:firstLine="600"/>
        <w:divId w:val="230383142"/>
        <w:rPr>
          <w:rFonts w:hint="eastAsia"/>
          <w:sz w:val="30"/>
          <w:szCs w:val="30"/>
        </w:rPr>
      </w:pPr>
      <w:r>
        <w:rPr>
          <w:rFonts w:hint="eastAsia"/>
          <w:sz w:val="30"/>
          <w:szCs w:val="30"/>
        </w:rPr>
        <w:t>再审申请人（一审原告、二审上诉人）：吴凤英，女，</w:t>
      </w:r>
      <w:r>
        <w:rPr>
          <w:rFonts w:hint="eastAsia"/>
          <w:sz w:val="30"/>
          <w:szCs w:val="30"/>
        </w:rPr>
        <w:t>1946</w:t>
      </w:r>
      <w:r>
        <w:rPr>
          <w:rFonts w:hint="eastAsia"/>
          <w:sz w:val="30"/>
          <w:szCs w:val="30"/>
        </w:rPr>
        <w:t>年</w:t>
      </w:r>
      <w:r>
        <w:rPr>
          <w:rFonts w:hint="eastAsia"/>
          <w:sz w:val="30"/>
          <w:szCs w:val="30"/>
        </w:rPr>
        <w:t>11</w:t>
      </w:r>
      <w:r>
        <w:rPr>
          <w:rFonts w:hint="eastAsia"/>
          <w:sz w:val="30"/>
          <w:szCs w:val="30"/>
        </w:rPr>
        <w:t>月</w:t>
      </w:r>
      <w:r>
        <w:rPr>
          <w:rFonts w:hint="eastAsia"/>
          <w:sz w:val="30"/>
          <w:szCs w:val="30"/>
        </w:rPr>
        <w:t>2</w:t>
      </w:r>
      <w:r>
        <w:rPr>
          <w:rFonts w:hint="eastAsia"/>
          <w:sz w:val="30"/>
          <w:szCs w:val="30"/>
        </w:rPr>
        <w:t>日出生，汉族，住广东省广州市。</w:t>
      </w:r>
    </w:p>
    <w:p w:rsidR="00000000" w:rsidRDefault="00631522">
      <w:pPr>
        <w:spacing w:line="500" w:lineRule="atLeast"/>
        <w:ind w:firstLine="600"/>
        <w:divId w:val="2123332629"/>
        <w:rPr>
          <w:rFonts w:hint="eastAsia"/>
          <w:sz w:val="30"/>
          <w:szCs w:val="30"/>
        </w:rPr>
      </w:pPr>
      <w:r>
        <w:rPr>
          <w:rFonts w:hint="eastAsia"/>
          <w:sz w:val="30"/>
          <w:szCs w:val="30"/>
        </w:rPr>
        <w:t>被申请人（一审被告、二审上诉人）：广州市第一人民医院。住所地：广东省广州市越秀区盘福路</w:t>
      </w:r>
      <w:r>
        <w:rPr>
          <w:rFonts w:hint="eastAsia"/>
          <w:sz w:val="30"/>
          <w:szCs w:val="30"/>
        </w:rPr>
        <w:t>1</w:t>
      </w:r>
      <w:r>
        <w:rPr>
          <w:rFonts w:hint="eastAsia"/>
          <w:sz w:val="30"/>
          <w:szCs w:val="30"/>
        </w:rPr>
        <w:t>号。</w:t>
      </w:r>
    </w:p>
    <w:p w:rsidR="00000000" w:rsidRDefault="00631522">
      <w:pPr>
        <w:spacing w:line="500" w:lineRule="atLeast"/>
        <w:ind w:firstLine="600"/>
        <w:divId w:val="1368530941"/>
        <w:rPr>
          <w:rFonts w:hint="eastAsia"/>
          <w:sz w:val="30"/>
          <w:szCs w:val="30"/>
        </w:rPr>
      </w:pPr>
      <w:r>
        <w:rPr>
          <w:rFonts w:hint="eastAsia"/>
          <w:sz w:val="30"/>
          <w:szCs w:val="30"/>
        </w:rPr>
        <w:t>法定代表人：曹杰，该院院长。</w:t>
      </w:r>
    </w:p>
    <w:p w:rsidR="00000000" w:rsidRDefault="00631522">
      <w:pPr>
        <w:spacing w:line="500" w:lineRule="atLeast"/>
        <w:ind w:firstLine="600"/>
        <w:divId w:val="851458054"/>
        <w:rPr>
          <w:rFonts w:hint="eastAsia"/>
          <w:sz w:val="30"/>
          <w:szCs w:val="30"/>
        </w:rPr>
      </w:pPr>
      <w:r>
        <w:rPr>
          <w:rFonts w:hint="eastAsia"/>
          <w:sz w:val="30"/>
          <w:szCs w:val="30"/>
        </w:rPr>
        <w:t>委托诉讼代理人：张永峰，广东法制盛邦律师事务所律师。</w:t>
      </w:r>
    </w:p>
    <w:p w:rsidR="00000000" w:rsidRDefault="00631522">
      <w:pPr>
        <w:spacing w:line="500" w:lineRule="atLeast"/>
        <w:ind w:firstLine="600"/>
        <w:divId w:val="1566407994"/>
        <w:rPr>
          <w:rFonts w:hint="eastAsia"/>
          <w:sz w:val="30"/>
          <w:szCs w:val="30"/>
        </w:rPr>
      </w:pPr>
      <w:r>
        <w:rPr>
          <w:rFonts w:hint="eastAsia"/>
          <w:sz w:val="30"/>
          <w:szCs w:val="30"/>
        </w:rPr>
        <w:t>再审申请人吴凤英因与被申请人广州市第一人民医院（以下简称市一医院）医疗损害责任纠纷一案，不服广东省广州市中级人民法院（</w:t>
      </w:r>
      <w:r>
        <w:rPr>
          <w:rFonts w:hint="eastAsia"/>
          <w:sz w:val="30"/>
          <w:szCs w:val="30"/>
        </w:rPr>
        <w:t>2019</w:t>
      </w:r>
      <w:r>
        <w:rPr>
          <w:rFonts w:hint="eastAsia"/>
          <w:sz w:val="30"/>
          <w:szCs w:val="30"/>
        </w:rPr>
        <w:t>）粤</w:t>
      </w:r>
      <w:r>
        <w:rPr>
          <w:rFonts w:hint="eastAsia"/>
          <w:sz w:val="30"/>
          <w:szCs w:val="30"/>
        </w:rPr>
        <w:t>01</w:t>
      </w:r>
      <w:r>
        <w:rPr>
          <w:rFonts w:hint="eastAsia"/>
          <w:sz w:val="30"/>
          <w:szCs w:val="30"/>
        </w:rPr>
        <w:t>民终</w:t>
      </w:r>
      <w:r>
        <w:rPr>
          <w:rFonts w:hint="eastAsia"/>
          <w:sz w:val="30"/>
          <w:szCs w:val="30"/>
        </w:rPr>
        <w:t>1164</w:t>
      </w:r>
      <w:r>
        <w:rPr>
          <w:rFonts w:hint="eastAsia"/>
          <w:sz w:val="30"/>
          <w:szCs w:val="30"/>
        </w:rPr>
        <w:t>号民事判决，向本院申请再审。本院依法组成合议庭进行了审查，现已审查终结。</w:t>
      </w:r>
    </w:p>
    <w:p w:rsidR="00000000" w:rsidRDefault="00631522">
      <w:pPr>
        <w:spacing w:line="500" w:lineRule="atLeast"/>
        <w:ind w:firstLine="600"/>
        <w:divId w:val="1388409611"/>
        <w:rPr>
          <w:rFonts w:hint="eastAsia"/>
          <w:sz w:val="30"/>
          <w:szCs w:val="30"/>
        </w:rPr>
      </w:pPr>
      <w:r>
        <w:rPr>
          <w:rFonts w:hint="eastAsia"/>
          <w:sz w:val="30"/>
          <w:szCs w:val="30"/>
        </w:rPr>
        <w:t>吴凤英申请再审称：</w:t>
      </w:r>
      <w:r>
        <w:rPr>
          <w:rFonts w:hint="eastAsia"/>
          <w:sz w:val="30"/>
          <w:szCs w:val="30"/>
        </w:rPr>
        <w:t>1.</w:t>
      </w:r>
      <w:r>
        <w:rPr>
          <w:rFonts w:hint="eastAsia"/>
          <w:sz w:val="30"/>
          <w:szCs w:val="30"/>
        </w:rPr>
        <w:t>本案的医疗费用承担比例存在认定事实不清，审查不当。</w:t>
      </w:r>
      <w:r>
        <w:rPr>
          <w:rFonts w:hint="eastAsia"/>
          <w:sz w:val="30"/>
          <w:szCs w:val="30"/>
        </w:rPr>
        <w:t>2010</w:t>
      </w:r>
      <w:r>
        <w:rPr>
          <w:rFonts w:hint="eastAsia"/>
          <w:sz w:val="30"/>
          <w:szCs w:val="30"/>
        </w:rPr>
        <w:t>年前审案件对吴凤英当时的医疗费进行了鉴定，鉴定结论为市一医院具有医疗违规行为承担</w:t>
      </w:r>
      <w:r>
        <w:rPr>
          <w:rFonts w:hint="eastAsia"/>
          <w:sz w:val="30"/>
          <w:szCs w:val="30"/>
        </w:rPr>
        <w:t>80%</w:t>
      </w:r>
      <w:r>
        <w:rPr>
          <w:rFonts w:hint="eastAsia"/>
          <w:sz w:val="30"/>
          <w:szCs w:val="30"/>
        </w:rPr>
        <w:t>的主要责任，吴凤英具有原发性疾病和自身因素，需承担</w:t>
      </w:r>
      <w:r>
        <w:rPr>
          <w:rFonts w:hint="eastAsia"/>
          <w:sz w:val="30"/>
          <w:szCs w:val="30"/>
        </w:rPr>
        <w:t>20%</w:t>
      </w:r>
      <w:r>
        <w:rPr>
          <w:rFonts w:hint="eastAsia"/>
          <w:sz w:val="30"/>
          <w:szCs w:val="30"/>
        </w:rPr>
        <w:t>的次要责任。此责任比例一直由吴凤英无辜承担，吴凤英也在诉求中主动降低了</w:t>
      </w:r>
      <w:r>
        <w:rPr>
          <w:rFonts w:hint="eastAsia"/>
          <w:sz w:val="30"/>
          <w:szCs w:val="30"/>
        </w:rPr>
        <w:t>20%</w:t>
      </w:r>
      <w:r>
        <w:rPr>
          <w:rFonts w:hint="eastAsia"/>
          <w:sz w:val="30"/>
          <w:szCs w:val="30"/>
        </w:rPr>
        <w:t>的诉讼标的。然而本案</w:t>
      </w:r>
      <w:r>
        <w:rPr>
          <w:rFonts w:hint="eastAsia"/>
          <w:sz w:val="30"/>
          <w:szCs w:val="30"/>
        </w:rPr>
        <w:t>2018</w:t>
      </w:r>
      <w:r>
        <w:rPr>
          <w:rFonts w:hint="eastAsia"/>
          <w:sz w:val="30"/>
          <w:szCs w:val="30"/>
        </w:rPr>
        <w:t>年新的医疗鉴定显示吴凤英的后续治疗费也是基于原发性疾病，被评定药物参与度为</w:t>
      </w:r>
      <w:r>
        <w:rPr>
          <w:rFonts w:hint="eastAsia"/>
          <w:sz w:val="30"/>
          <w:szCs w:val="30"/>
        </w:rPr>
        <w:t>70%</w:t>
      </w:r>
      <w:r>
        <w:rPr>
          <w:rFonts w:hint="eastAsia"/>
          <w:sz w:val="30"/>
          <w:szCs w:val="30"/>
        </w:rPr>
        <w:t>。两次鉴定都是基于同一理由对这笔治疗费作出了相应的扣减责任比例，造成吴凤英实际支出的医疗费被重复扣减。且一审判决采取</w:t>
      </w:r>
      <w:r>
        <w:rPr>
          <w:rFonts w:hint="eastAsia"/>
          <w:sz w:val="30"/>
          <w:szCs w:val="30"/>
        </w:rPr>
        <w:t>65%</w:t>
      </w:r>
      <w:r>
        <w:rPr>
          <w:rFonts w:hint="eastAsia"/>
          <w:sz w:val="30"/>
          <w:szCs w:val="30"/>
        </w:rPr>
        <w:t>的药物参与度比例是毫无依据的，</w:t>
      </w:r>
      <w:r>
        <w:rPr>
          <w:rFonts w:hint="eastAsia"/>
          <w:sz w:val="30"/>
          <w:szCs w:val="30"/>
        </w:rPr>
        <w:t>65%</w:t>
      </w:r>
      <w:r>
        <w:rPr>
          <w:rFonts w:hint="eastAsia"/>
          <w:sz w:val="30"/>
          <w:szCs w:val="30"/>
        </w:rPr>
        <w:t>比例不足以填补吴凤英的</w:t>
      </w:r>
      <w:r>
        <w:rPr>
          <w:rFonts w:hint="eastAsia"/>
          <w:sz w:val="30"/>
          <w:szCs w:val="30"/>
        </w:rPr>
        <w:t>100%</w:t>
      </w:r>
      <w:r>
        <w:rPr>
          <w:rFonts w:hint="eastAsia"/>
          <w:sz w:val="30"/>
          <w:szCs w:val="30"/>
        </w:rPr>
        <w:t>实际损失。</w:t>
      </w:r>
      <w:r>
        <w:rPr>
          <w:rFonts w:hint="eastAsia"/>
          <w:sz w:val="30"/>
          <w:szCs w:val="30"/>
        </w:rPr>
        <w:t>2.</w:t>
      </w:r>
      <w:r>
        <w:rPr>
          <w:rFonts w:hint="eastAsia"/>
          <w:sz w:val="30"/>
          <w:szCs w:val="30"/>
        </w:rPr>
        <w:t>关于鉴定费方面。案涉鉴定结果有利于吴凤英，故鉴定费应当由举证不利的市一医院全部承担。</w:t>
      </w:r>
      <w:r>
        <w:rPr>
          <w:rFonts w:hint="eastAsia"/>
          <w:sz w:val="30"/>
          <w:szCs w:val="30"/>
        </w:rPr>
        <w:t>3.</w:t>
      </w:r>
      <w:r>
        <w:rPr>
          <w:rFonts w:hint="eastAsia"/>
          <w:sz w:val="30"/>
          <w:szCs w:val="30"/>
        </w:rPr>
        <w:t>交通费认定不合理。吴凤英提交的</w:t>
      </w:r>
      <w:r>
        <w:rPr>
          <w:rFonts w:hint="eastAsia"/>
          <w:sz w:val="30"/>
          <w:szCs w:val="30"/>
        </w:rPr>
        <w:lastRenderedPageBreak/>
        <w:t>治疗证明及公交车出行票据，在市一医院没有提交抗辩证据的情况下，二审法院酌定交通</w:t>
      </w:r>
      <w:r>
        <w:rPr>
          <w:rFonts w:hint="eastAsia"/>
          <w:sz w:val="30"/>
          <w:szCs w:val="30"/>
        </w:rPr>
        <w:t>费</w:t>
      </w:r>
      <w:r>
        <w:rPr>
          <w:rFonts w:hint="eastAsia"/>
          <w:sz w:val="30"/>
          <w:szCs w:val="30"/>
        </w:rPr>
        <w:t>120</w:t>
      </w:r>
      <w:r>
        <w:rPr>
          <w:rFonts w:hint="eastAsia"/>
          <w:sz w:val="30"/>
          <w:szCs w:val="30"/>
        </w:rPr>
        <w:t>元，没有法律依据。综上，请求对本案进行再审。</w:t>
      </w:r>
    </w:p>
    <w:p w:rsidR="00000000" w:rsidRDefault="00631522">
      <w:pPr>
        <w:spacing w:line="500" w:lineRule="atLeast"/>
        <w:ind w:firstLine="600"/>
        <w:divId w:val="497354641"/>
        <w:rPr>
          <w:rFonts w:hint="eastAsia"/>
          <w:sz w:val="30"/>
          <w:szCs w:val="30"/>
        </w:rPr>
      </w:pPr>
      <w:r>
        <w:rPr>
          <w:rFonts w:hint="eastAsia"/>
          <w:sz w:val="30"/>
          <w:szCs w:val="30"/>
        </w:rPr>
        <w:t>市一医院提交意见称：</w:t>
      </w:r>
      <w:r>
        <w:rPr>
          <w:rFonts w:hint="eastAsia"/>
          <w:sz w:val="30"/>
          <w:szCs w:val="30"/>
        </w:rPr>
        <w:t>1.</w:t>
      </w:r>
      <w:r>
        <w:rPr>
          <w:rFonts w:hint="eastAsia"/>
          <w:sz w:val="30"/>
          <w:szCs w:val="30"/>
        </w:rPr>
        <w:t>本案应追加广州市一汽巴士公司为诉讼当事人。市一医院无需承担广州市一汽巴士公司应当承担的赔偿份额。</w:t>
      </w:r>
      <w:r>
        <w:rPr>
          <w:rFonts w:hint="eastAsia"/>
          <w:sz w:val="30"/>
          <w:szCs w:val="30"/>
        </w:rPr>
        <w:t>2.</w:t>
      </w:r>
      <w:r>
        <w:rPr>
          <w:rFonts w:hint="eastAsia"/>
          <w:sz w:val="30"/>
          <w:szCs w:val="30"/>
        </w:rPr>
        <w:t>（</w:t>
      </w:r>
      <w:r>
        <w:rPr>
          <w:rFonts w:hint="eastAsia"/>
          <w:sz w:val="30"/>
          <w:szCs w:val="30"/>
        </w:rPr>
        <w:t>2013</w:t>
      </w:r>
      <w:r>
        <w:rPr>
          <w:rFonts w:hint="eastAsia"/>
          <w:sz w:val="30"/>
          <w:szCs w:val="30"/>
        </w:rPr>
        <w:t>）粤高法审监民提字第</w:t>
      </w:r>
      <w:r>
        <w:rPr>
          <w:rFonts w:hint="eastAsia"/>
          <w:sz w:val="30"/>
          <w:szCs w:val="30"/>
        </w:rPr>
        <w:t>166</w:t>
      </w:r>
      <w:r>
        <w:rPr>
          <w:rFonts w:hint="eastAsia"/>
          <w:sz w:val="30"/>
          <w:szCs w:val="30"/>
        </w:rPr>
        <w:t>号生效判决不能作为认定本案争议焦点的依据。</w:t>
      </w:r>
      <w:r>
        <w:rPr>
          <w:rFonts w:hint="eastAsia"/>
          <w:sz w:val="30"/>
          <w:szCs w:val="30"/>
        </w:rPr>
        <w:t>3.</w:t>
      </w:r>
      <w:r>
        <w:rPr>
          <w:rFonts w:hint="eastAsia"/>
          <w:sz w:val="30"/>
          <w:szCs w:val="30"/>
        </w:rPr>
        <w:t>吴凤英主张的后续治疗费明显不合理，原审根据查明的事实依法进行处理并无不当。</w:t>
      </w:r>
      <w:r>
        <w:rPr>
          <w:rFonts w:hint="eastAsia"/>
          <w:sz w:val="30"/>
          <w:szCs w:val="30"/>
        </w:rPr>
        <w:t>4.</w:t>
      </w:r>
      <w:r>
        <w:rPr>
          <w:rFonts w:hint="eastAsia"/>
          <w:sz w:val="30"/>
          <w:szCs w:val="30"/>
        </w:rPr>
        <w:t>市一医院承责显著过重。请贵院查清事实后依法裁判。</w:t>
      </w:r>
    </w:p>
    <w:p w:rsidR="00000000" w:rsidRDefault="00631522">
      <w:pPr>
        <w:spacing w:line="500" w:lineRule="atLeast"/>
        <w:ind w:firstLine="600"/>
        <w:divId w:val="1197936229"/>
        <w:rPr>
          <w:rFonts w:hint="eastAsia"/>
          <w:sz w:val="30"/>
          <w:szCs w:val="30"/>
        </w:rPr>
      </w:pPr>
      <w:r>
        <w:rPr>
          <w:rFonts w:hint="eastAsia"/>
          <w:sz w:val="30"/>
          <w:szCs w:val="30"/>
        </w:rPr>
        <w:t>本院经审查认为，本案系民事再审审查案件，根据《最高人民法院关于适用〈中华人民共和国民事诉讼法〉的解释》第三百八十六条的规定，</w:t>
      </w:r>
      <w:r>
        <w:rPr>
          <w:rFonts w:hint="eastAsia"/>
          <w:sz w:val="30"/>
          <w:szCs w:val="30"/>
        </w:rPr>
        <w:t>本案应对再审申请人吴凤英主张的再审事由进行审查。</w:t>
      </w:r>
    </w:p>
    <w:p w:rsidR="00000000" w:rsidRDefault="00631522">
      <w:pPr>
        <w:spacing w:line="500" w:lineRule="atLeast"/>
        <w:ind w:firstLine="600"/>
        <w:divId w:val="1279026584"/>
        <w:rPr>
          <w:rFonts w:hint="eastAsia"/>
          <w:sz w:val="30"/>
          <w:szCs w:val="30"/>
        </w:rPr>
      </w:pPr>
      <w:r>
        <w:rPr>
          <w:rFonts w:hint="eastAsia"/>
          <w:sz w:val="30"/>
          <w:szCs w:val="30"/>
        </w:rPr>
        <w:t>一、关于一、二审法院是否错误适用两份鉴定结论，对市一医院的赔偿款进行了重复扣减的问题。</w:t>
      </w:r>
    </w:p>
    <w:p w:rsidR="00000000" w:rsidRDefault="00631522">
      <w:pPr>
        <w:spacing w:line="500" w:lineRule="atLeast"/>
        <w:ind w:firstLine="600"/>
        <w:divId w:val="746536242"/>
        <w:rPr>
          <w:rFonts w:hint="eastAsia"/>
          <w:sz w:val="30"/>
          <w:szCs w:val="30"/>
        </w:rPr>
      </w:pPr>
      <w:r>
        <w:rPr>
          <w:rFonts w:hint="eastAsia"/>
          <w:sz w:val="30"/>
          <w:szCs w:val="30"/>
        </w:rPr>
        <w:t>经一审法院查明，</w:t>
      </w:r>
      <w:r>
        <w:rPr>
          <w:rFonts w:hint="eastAsia"/>
          <w:sz w:val="30"/>
          <w:szCs w:val="30"/>
        </w:rPr>
        <w:t>2010</w:t>
      </w:r>
      <w:r>
        <w:rPr>
          <w:rFonts w:hint="eastAsia"/>
          <w:sz w:val="30"/>
          <w:szCs w:val="30"/>
        </w:rPr>
        <w:t>年</w:t>
      </w:r>
      <w:r>
        <w:rPr>
          <w:rFonts w:hint="eastAsia"/>
          <w:sz w:val="30"/>
          <w:szCs w:val="30"/>
        </w:rPr>
        <w:t>11</w:t>
      </w:r>
      <w:r>
        <w:rPr>
          <w:rFonts w:hint="eastAsia"/>
          <w:sz w:val="30"/>
          <w:szCs w:val="30"/>
        </w:rPr>
        <w:t>月</w:t>
      </w:r>
      <w:r>
        <w:rPr>
          <w:rFonts w:hint="eastAsia"/>
          <w:sz w:val="30"/>
          <w:szCs w:val="30"/>
        </w:rPr>
        <w:t>12</w:t>
      </w:r>
      <w:r>
        <w:rPr>
          <w:rFonts w:hint="eastAsia"/>
          <w:sz w:val="30"/>
          <w:szCs w:val="30"/>
        </w:rPr>
        <w:t>日，广州市医学会就市一医院的医疗行为是否构成医疗事故作出广州医鉴</w:t>
      </w:r>
      <w:r>
        <w:rPr>
          <w:rFonts w:hint="eastAsia"/>
          <w:sz w:val="30"/>
          <w:szCs w:val="30"/>
        </w:rPr>
        <w:t>[2010]118</w:t>
      </w:r>
      <w:r>
        <w:rPr>
          <w:rFonts w:hint="eastAsia"/>
          <w:sz w:val="30"/>
          <w:szCs w:val="30"/>
        </w:rPr>
        <w:t>号医疗事故技术鉴定书，鉴定结论认定本医案构成三级丙等医疗事故，医方承担主要责任。而广东恒鑫司法鉴定所于</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15</w:t>
      </w:r>
      <w:r>
        <w:rPr>
          <w:rFonts w:hint="eastAsia"/>
          <w:sz w:val="30"/>
          <w:szCs w:val="30"/>
        </w:rPr>
        <w:t>日作出的粤恒</w:t>
      </w:r>
      <w:r>
        <w:rPr>
          <w:rFonts w:hint="eastAsia"/>
          <w:sz w:val="30"/>
          <w:szCs w:val="30"/>
        </w:rPr>
        <w:t>[2018]</w:t>
      </w:r>
      <w:r>
        <w:rPr>
          <w:rFonts w:hint="eastAsia"/>
          <w:sz w:val="30"/>
          <w:szCs w:val="30"/>
        </w:rPr>
        <w:t>临鉴字第</w:t>
      </w:r>
      <w:r>
        <w:rPr>
          <w:rFonts w:hint="eastAsia"/>
          <w:sz w:val="30"/>
          <w:szCs w:val="30"/>
        </w:rPr>
        <w:t>398</w:t>
      </w:r>
      <w:r>
        <w:rPr>
          <w:rFonts w:hint="eastAsia"/>
          <w:sz w:val="30"/>
          <w:szCs w:val="30"/>
        </w:rPr>
        <w:t>号法医临床司法鉴定意见书的鉴定事项为吴凤英本案诉请医疗费用及继续看护治疗的必要性合理性问题。该鉴定</w:t>
      </w:r>
      <w:r>
        <w:rPr>
          <w:rFonts w:hint="eastAsia"/>
          <w:sz w:val="30"/>
          <w:szCs w:val="30"/>
        </w:rPr>
        <w:t>意见为被鉴定人吴凤英医疗费的合理性，综合评定为主要因素，建议参与度为</w:t>
      </w:r>
      <w:r>
        <w:rPr>
          <w:rFonts w:hint="eastAsia"/>
          <w:sz w:val="30"/>
          <w:szCs w:val="30"/>
        </w:rPr>
        <w:t>61%</w:t>
      </w:r>
      <w:r>
        <w:rPr>
          <w:rFonts w:hint="eastAsia"/>
          <w:sz w:val="30"/>
          <w:szCs w:val="30"/>
        </w:rPr>
        <w:t>－</w:t>
      </w:r>
      <w:r>
        <w:rPr>
          <w:rFonts w:hint="eastAsia"/>
          <w:sz w:val="30"/>
          <w:szCs w:val="30"/>
        </w:rPr>
        <w:t>70%</w:t>
      </w:r>
      <w:r>
        <w:rPr>
          <w:rFonts w:hint="eastAsia"/>
          <w:sz w:val="30"/>
          <w:szCs w:val="30"/>
        </w:rPr>
        <w:t>。一、二审法院结合案涉两份鉴定报告的意见、（</w:t>
      </w:r>
      <w:r>
        <w:rPr>
          <w:rFonts w:hint="eastAsia"/>
          <w:sz w:val="30"/>
          <w:szCs w:val="30"/>
        </w:rPr>
        <w:t>2013</w:t>
      </w:r>
      <w:r>
        <w:rPr>
          <w:rFonts w:hint="eastAsia"/>
          <w:sz w:val="30"/>
          <w:szCs w:val="30"/>
        </w:rPr>
        <w:t>）粤高法审监民提字第</w:t>
      </w:r>
      <w:r>
        <w:rPr>
          <w:rFonts w:hint="eastAsia"/>
          <w:sz w:val="30"/>
          <w:szCs w:val="30"/>
        </w:rPr>
        <w:t>166</w:t>
      </w:r>
      <w:r>
        <w:rPr>
          <w:rFonts w:hint="eastAsia"/>
          <w:sz w:val="30"/>
          <w:szCs w:val="30"/>
        </w:rPr>
        <w:t>号生效判决认定的责任比例及本案查明的事实，对吴凤英主张的医疗费的合理性参与度认定为</w:t>
      </w:r>
      <w:r>
        <w:rPr>
          <w:rFonts w:hint="eastAsia"/>
          <w:sz w:val="30"/>
          <w:szCs w:val="30"/>
        </w:rPr>
        <w:t>65%</w:t>
      </w:r>
      <w:r>
        <w:rPr>
          <w:rFonts w:hint="eastAsia"/>
          <w:sz w:val="30"/>
          <w:szCs w:val="30"/>
        </w:rPr>
        <w:t>，并按市一医院对吴凤英合理损失承担</w:t>
      </w:r>
      <w:r>
        <w:rPr>
          <w:rFonts w:hint="eastAsia"/>
          <w:sz w:val="30"/>
          <w:szCs w:val="30"/>
        </w:rPr>
        <w:t>80%</w:t>
      </w:r>
      <w:r>
        <w:rPr>
          <w:rFonts w:hint="eastAsia"/>
          <w:sz w:val="30"/>
          <w:szCs w:val="30"/>
        </w:rPr>
        <w:t>责任比例计算市一医院向吴凤</w:t>
      </w:r>
      <w:r>
        <w:rPr>
          <w:rFonts w:hint="eastAsia"/>
          <w:sz w:val="30"/>
          <w:szCs w:val="30"/>
        </w:rPr>
        <w:lastRenderedPageBreak/>
        <w:t>英支付的赔偿款，并无不当。吴凤英主张案涉两份鉴定报告基于同一理由对同一笔医疗费用的比例进行重复扣减，与事实不符，本院不予采纳。</w:t>
      </w:r>
    </w:p>
    <w:p w:rsidR="00000000" w:rsidRDefault="00631522">
      <w:pPr>
        <w:spacing w:line="500" w:lineRule="atLeast"/>
        <w:ind w:firstLine="600"/>
        <w:divId w:val="1374698254"/>
        <w:rPr>
          <w:rFonts w:hint="eastAsia"/>
          <w:sz w:val="30"/>
          <w:szCs w:val="30"/>
        </w:rPr>
      </w:pPr>
      <w:r>
        <w:rPr>
          <w:rFonts w:hint="eastAsia"/>
          <w:sz w:val="30"/>
          <w:szCs w:val="30"/>
        </w:rPr>
        <w:t>二、关于交通费和鉴定费的认定问题。</w:t>
      </w:r>
    </w:p>
    <w:p w:rsidR="00000000" w:rsidRDefault="00631522">
      <w:pPr>
        <w:spacing w:line="500" w:lineRule="atLeast"/>
        <w:ind w:firstLine="600"/>
        <w:divId w:val="696004212"/>
        <w:rPr>
          <w:rFonts w:hint="eastAsia"/>
          <w:sz w:val="30"/>
          <w:szCs w:val="30"/>
        </w:rPr>
      </w:pPr>
      <w:r>
        <w:rPr>
          <w:rFonts w:hint="eastAsia"/>
          <w:sz w:val="30"/>
          <w:szCs w:val="30"/>
        </w:rPr>
        <w:t>二审法院结合吴凤英需陪诊的实际复诊</w:t>
      </w:r>
      <w:r>
        <w:rPr>
          <w:rFonts w:hint="eastAsia"/>
          <w:sz w:val="30"/>
          <w:szCs w:val="30"/>
        </w:rPr>
        <w:t>次数及医方的承责比例，依据《最高人民法院关于审理人身损害赔偿案件适用法律若干问题的解释》第二十二条“交通费根据受害人及其必要的陪护人员因就医或者转院治疗实际发生的费用计算。交通费应当以正式票据为凭；有关凭据应当与就医地点、时间、人数、次数相符合”的规定，认定本案交通费为</w:t>
      </w:r>
      <w:r>
        <w:rPr>
          <w:rFonts w:hint="eastAsia"/>
          <w:sz w:val="30"/>
          <w:szCs w:val="30"/>
        </w:rPr>
        <w:t>120</w:t>
      </w:r>
      <w:r>
        <w:rPr>
          <w:rFonts w:hint="eastAsia"/>
          <w:sz w:val="30"/>
          <w:szCs w:val="30"/>
        </w:rPr>
        <w:t>元，并无不当。至于鉴定费的负担问题，一、二审法院结合吴凤英诉讼请求以及生效判决确定支持的金额，判定吴凤英与市一医院就鉴定费各自负担相应的金额，亦无不当。吴凤英主张交通费认定不当及鉴定费应由市一医院全部承担的申请再审理由，均缺乏充分依据，</w:t>
      </w:r>
      <w:r>
        <w:rPr>
          <w:rFonts w:hint="eastAsia"/>
          <w:sz w:val="30"/>
          <w:szCs w:val="30"/>
        </w:rPr>
        <w:t>本院亦不予采纳。</w:t>
      </w:r>
    </w:p>
    <w:p w:rsidR="00000000" w:rsidRDefault="00631522">
      <w:pPr>
        <w:spacing w:line="500" w:lineRule="atLeast"/>
        <w:ind w:firstLine="600"/>
        <w:divId w:val="765344629"/>
        <w:rPr>
          <w:rFonts w:hint="eastAsia"/>
          <w:sz w:val="30"/>
          <w:szCs w:val="30"/>
        </w:rPr>
      </w:pPr>
      <w:r>
        <w:rPr>
          <w:rFonts w:hint="eastAsia"/>
          <w:sz w:val="30"/>
          <w:szCs w:val="30"/>
        </w:rPr>
        <w:t>综上所述，吴凤英的再审申请不属于《中华人民共和国民事诉讼法》第二百条规定的再审事由。依照《中华人民共和国民事诉讼法》第二百零四条第一款、《最高人民法院关于适用〈中华人民共和国民事诉讼法〉的解释》第三百九十五条第二款的规定，裁定如下：</w:t>
      </w:r>
    </w:p>
    <w:p w:rsidR="00000000" w:rsidRDefault="00631522">
      <w:pPr>
        <w:spacing w:line="500" w:lineRule="atLeast"/>
        <w:ind w:firstLine="600"/>
        <w:divId w:val="512763020"/>
        <w:rPr>
          <w:rFonts w:hint="eastAsia"/>
          <w:sz w:val="30"/>
          <w:szCs w:val="30"/>
        </w:rPr>
      </w:pPr>
      <w:r>
        <w:rPr>
          <w:rFonts w:hint="eastAsia"/>
          <w:sz w:val="30"/>
          <w:szCs w:val="30"/>
        </w:rPr>
        <w:t>驳回吴凤英的再审申请。</w:t>
      </w:r>
    </w:p>
    <w:p w:rsidR="00000000" w:rsidRDefault="00631522">
      <w:pPr>
        <w:spacing w:line="500" w:lineRule="atLeast"/>
        <w:jc w:val="right"/>
        <w:divId w:val="603461241"/>
        <w:rPr>
          <w:rFonts w:hint="eastAsia"/>
          <w:sz w:val="30"/>
          <w:szCs w:val="30"/>
        </w:rPr>
      </w:pPr>
      <w:r>
        <w:rPr>
          <w:rFonts w:hint="eastAsia"/>
          <w:sz w:val="30"/>
          <w:szCs w:val="30"/>
        </w:rPr>
        <w:t>审判长　　万季明</w:t>
      </w:r>
    </w:p>
    <w:p w:rsidR="00000000" w:rsidRDefault="00631522">
      <w:pPr>
        <w:spacing w:line="500" w:lineRule="atLeast"/>
        <w:jc w:val="right"/>
        <w:divId w:val="1017118996"/>
        <w:rPr>
          <w:rFonts w:hint="eastAsia"/>
          <w:sz w:val="30"/>
          <w:szCs w:val="30"/>
        </w:rPr>
      </w:pPr>
      <w:r>
        <w:rPr>
          <w:rFonts w:hint="eastAsia"/>
          <w:sz w:val="30"/>
          <w:szCs w:val="30"/>
        </w:rPr>
        <w:t>审判员　　钟向芬</w:t>
      </w:r>
    </w:p>
    <w:p w:rsidR="00000000" w:rsidRDefault="00631522">
      <w:pPr>
        <w:spacing w:line="500" w:lineRule="atLeast"/>
        <w:jc w:val="right"/>
        <w:divId w:val="1834756080"/>
        <w:rPr>
          <w:rFonts w:hint="eastAsia"/>
          <w:sz w:val="30"/>
          <w:szCs w:val="30"/>
        </w:rPr>
      </w:pPr>
      <w:r>
        <w:rPr>
          <w:rFonts w:hint="eastAsia"/>
          <w:sz w:val="30"/>
          <w:szCs w:val="30"/>
        </w:rPr>
        <w:t>审判员　　晏　鹏</w:t>
      </w:r>
    </w:p>
    <w:p w:rsidR="00000000" w:rsidRDefault="00631522">
      <w:pPr>
        <w:spacing w:line="500" w:lineRule="atLeast"/>
        <w:jc w:val="right"/>
        <w:divId w:val="1117066303"/>
        <w:rPr>
          <w:rFonts w:hint="eastAsia"/>
          <w:sz w:val="30"/>
          <w:szCs w:val="30"/>
        </w:rPr>
      </w:pPr>
      <w:r>
        <w:rPr>
          <w:rFonts w:hint="eastAsia"/>
          <w:sz w:val="30"/>
          <w:szCs w:val="30"/>
        </w:rPr>
        <w:t>二〇一九年八月六日</w:t>
      </w:r>
    </w:p>
    <w:p w:rsidR="00000000" w:rsidRDefault="00631522">
      <w:pPr>
        <w:spacing w:line="500" w:lineRule="atLeast"/>
        <w:ind w:firstLine="600"/>
        <w:divId w:val="1189024423"/>
        <w:rPr>
          <w:rFonts w:hint="eastAsia"/>
          <w:sz w:val="30"/>
          <w:szCs w:val="30"/>
        </w:rPr>
      </w:pPr>
      <w:r>
        <w:rPr>
          <w:rFonts w:hint="eastAsia"/>
          <w:sz w:val="30"/>
          <w:szCs w:val="30"/>
        </w:rPr>
        <w:t>法官助理黄健军</w:t>
      </w:r>
    </w:p>
    <w:p w:rsidR="00000000" w:rsidRDefault="00631522">
      <w:pPr>
        <w:spacing w:line="500" w:lineRule="atLeast"/>
        <w:ind w:firstLine="600"/>
        <w:divId w:val="264844727"/>
        <w:rPr>
          <w:rFonts w:hint="eastAsia"/>
          <w:sz w:val="30"/>
          <w:szCs w:val="30"/>
        </w:rPr>
      </w:pPr>
      <w:r>
        <w:rPr>
          <w:rFonts w:hint="eastAsia"/>
          <w:sz w:val="30"/>
          <w:szCs w:val="30"/>
        </w:rPr>
        <w:t>书记员王晓微</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1522" w:rsidRDefault="00631522" w:rsidP="00631522">
      <w:r>
        <w:separator/>
      </w:r>
    </w:p>
  </w:endnote>
  <w:endnote w:type="continuationSeparator" w:id="0">
    <w:p w:rsidR="00631522" w:rsidRDefault="00631522" w:rsidP="00631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1522" w:rsidRDefault="00631522" w:rsidP="00631522">
      <w:r>
        <w:separator/>
      </w:r>
    </w:p>
  </w:footnote>
  <w:footnote w:type="continuationSeparator" w:id="0">
    <w:p w:rsidR="00631522" w:rsidRDefault="00631522" w:rsidP="006315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31522"/>
    <w:rsid w:val="006315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6315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1522"/>
    <w:rPr>
      <w:rFonts w:ascii="宋体" w:eastAsia="宋体" w:hAnsi="宋体" w:cs="宋体"/>
      <w:sz w:val="18"/>
      <w:szCs w:val="18"/>
    </w:rPr>
  </w:style>
  <w:style w:type="paragraph" w:styleId="a5">
    <w:name w:val="footer"/>
    <w:basedOn w:val="a"/>
    <w:link w:val="a6"/>
    <w:uiPriority w:val="99"/>
    <w:unhideWhenUsed/>
    <w:rsid w:val="00631522"/>
    <w:pPr>
      <w:tabs>
        <w:tab w:val="center" w:pos="4153"/>
        <w:tab w:val="right" w:pos="8306"/>
      </w:tabs>
      <w:snapToGrid w:val="0"/>
    </w:pPr>
    <w:rPr>
      <w:sz w:val="18"/>
      <w:szCs w:val="18"/>
    </w:rPr>
  </w:style>
  <w:style w:type="character" w:customStyle="1" w:styleId="a6">
    <w:name w:val="页脚 字符"/>
    <w:basedOn w:val="a0"/>
    <w:link w:val="a5"/>
    <w:uiPriority w:val="99"/>
    <w:rsid w:val="0063152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12537">
      <w:marLeft w:val="0"/>
      <w:marRight w:val="0"/>
      <w:marTop w:val="10"/>
      <w:marBottom w:val="10"/>
      <w:divBdr>
        <w:top w:val="none" w:sz="0" w:space="0" w:color="auto"/>
        <w:left w:val="none" w:sz="0" w:space="0" w:color="auto"/>
        <w:bottom w:val="none" w:sz="0" w:space="0" w:color="auto"/>
        <w:right w:val="none" w:sz="0" w:space="0" w:color="auto"/>
      </w:divBdr>
    </w:div>
    <w:div w:id="230383142">
      <w:marLeft w:val="0"/>
      <w:marRight w:val="0"/>
      <w:marTop w:val="10"/>
      <w:marBottom w:val="10"/>
      <w:divBdr>
        <w:top w:val="none" w:sz="0" w:space="0" w:color="auto"/>
        <w:left w:val="none" w:sz="0" w:space="0" w:color="auto"/>
        <w:bottom w:val="none" w:sz="0" w:space="0" w:color="auto"/>
        <w:right w:val="none" w:sz="0" w:space="0" w:color="auto"/>
      </w:divBdr>
    </w:div>
    <w:div w:id="264844727">
      <w:marLeft w:val="0"/>
      <w:marRight w:val="0"/>
      <w:marTop w:val="10"/>
      <w:marBottom w:val="10"/>
      <w:divBdr>
        <w:top w:val="none" w:sz="0" w:space="0" w:color="auto"/>
        <w:left w:val="none" w:sz="0" w:space="0" w:color="auto"/>
        <w:bottom w:val="none" w:sz="0" w:space="0" w:color="auto"/>
        <w:right w:val="none" w:sz="0" w:space="0" w:color="auto"/>
      </w:divBdr>
    </w:div>
    <w:div w:id="497354641">
      <w:marLeft w:val="0"/>
      <w:marRight w:val="0"/>
      <w:marTop w:val="10"/>
      <w:marBottom w:val="10"/>
      <w:divBdr>
        <w:top w:val="none" w:sz="0" w:space="0" w:color="auto"/>
        <w:left w:val="none" w:sz="0" w:space="0" w:color="auto"/>
        <w:bottom w:val="none" w:sz="0" w:space="0" w:color="auto"/>
        <w:right w:val="none" w:sz="0" w:space="0" w:color="auto"/>
      </w:divBdr>
    </w:div>
    <w:div w:id="512763020">
      <w:marLeft w:val="0"/>
      <w:marRight w:val="0"/>
      <w:marTop w:val="10"/>
      <w:marBottom w:val="10"/>
      <w:divBdr>
        <w:top w:val="none" w:sz="0" w:space="0" w:color="auto"/>
        <w:left w:val="none" w:sz="0" w:space="0" w:color="auto"/>
        <w:bottom w:val="none" w:sz="0" w:space="0" w:color="auto"/>
        <w:right w:val="none" w:sz="0" w:space="0" w:color="auto"/>
      </w:divBdr>
    </w:div>
    <w:div w:id="603461241">
      <w:marLeft w:val="0"/>
      <w:marRight w:val="720"/>
      <w:marTop w:val="10"/>
      <w:marBottom w:val="10"/>
      <w:divBdr>
        <w:top w:val="none" w:sz="0" w:space="0" w:color="auto"/>
        <w:left w:val="none" w:sz="0" w:space="0" w:color="auto"/>
        <w:bottom w:val="none" w:sz="0" w:space="0" w:color="auto"/>
        <w:right w:val="none" w:sz="0" w:space="0" w:color="auto"/>
      </w:divBdr>
    </w:div>
    <w:div w:id="696004212">
      <w:marLeft w:val="0"/>
      <w:marRight w:val="0"/>
      <w:marTop w:val="10"/>
      <w:marBottom w:val="10"/>
      <w:divBdr>
        <w:top w:val="none" w:sz="0" w:space="0" w:color="auto"/>
        <w:left w:val="none" w:sz="0" w:space="0" w:color="auto"/>
        <w:bottom w:val="none" w:sz="0" w:space="0" w:color="auto"/>
        <w:right w:val="none" w:sz="0" w:space="0" w:color="auto"/>
      </w:divBdr>
    </w:div>
    <w:div w:id="746536242">
      <w:marLeft w:val="0"/>
      <w:marRight w:val="0"/>
      <w:marTop w:val="10"/>
      <w:marBottom w:val="10"/>
      <w:divBdr>
        <w:top w:val="none" w:sz="0" w:space="0" w:color="auto"/>
        <w:left w:val="none" w:sz="0" w:space="0" w:color="auto"/>
        <w:bottom w:val="none" w:sz="0" w:space="0" w:color="auto"/>
        <w:right w:val="none" w:sz="0" w:space="0" w:color="auto"/>
      </w:divBdr>
    </w:div>
    <w:div w:id="765344629">
      <w:marLeft w:val="0"/>
      <w:marRight w:val="0"/>
      <w:marTop w:val="10"/>
      <w:marBottom w:val="10"/>
      <w:divBdr>
        <w:top w:val="none" w:sz="0" w:space="0" w:color="auto"/>
        <w:left w:val="none" w:sz="0" w:space="0" w:color="auto"/>
        <w:bottom w:val="none" w:sz="0" w:space="0" w:color="auto"/>
        <w:right w:val="none" w:sz="0" w:space="0" w:color="auto"/>
      </w:divBdr>
    </w:div>
    <w:div w:id="851458054">
      <w:marLeft w:val="0"/>
      <w:marRight w:val="0"/>
      <w:marTop w:val="10"/>
      <w:marBottom w:val="10"/>
      <w:divBdr>
        <w:top w:val="none" w:sz="0" w:space="0" w:color="auto"/>
        <w:left w:val="none" w:sz="0" w:space="0" w:color="auto"/>
        <w:bottom w:val="none" w:sz="0" w:space="0" w:color="auto"/>
        <w:right w:val="none" w:sz="0" w:space="0" w:color="auto"/>
      </w:divBdr>
    </w:div>
    <w:div w:id="1017118996">
      <w:marLeft w:val="0"/>
      <w:marRight w:val="720"/>
      <w:marTop w:val="10"/>
      <w:marBottom w:val="10"/>
      <w:divBdr>
        <w:top w:val="none" w:sz="0" w:space="0" w:color="auto"/>
        <w:left w:val="none" w:sz="0" w:space="0" w:color="auto"/>
        <w:bottom w:val="none" w:sz="0" w:space="0" w:color="auto"/>
        <w:right w:val="none" w:sz="0" w:space="0" w:color="auto"/>
      </w:divBdr>
    </w:div>
    <w:div w:id="1117066303">
      <w:marLeft w:val="0"/>
      <w:marRight w:val="720"/>
      <w:marTop w:val="10"/>
      <w:marBottom w:val="10"/>
      <w:divBdr>
        <w:top w:val="none" w:sz="0" w:space="0" w:color="auto"/>
        <w:left w:val="none" w:sz="0" w:space="0" w:color="auto"/>
        <w:bottom w:val="none" w:sz="0" w:space="0" w:color="auto"/>
        <w:right w:val="none" w:sz="0" w:space="0" w:color="auto"/>
      </w:divBdr>
    </w:div>
    <w:div w:id="1189024423">
      <w:marLeft w:val="0"/>
      <w:marRight w:val="0"/>
      <w:marTop w:val="10"/>
      <w:marBottom w:val="10"/>
      <w:divBdr>
        <w:top w:val="none" w:sz="0" w:space="0" w:color="auto"/>
        <w:left w:val="none" w:sz="0" w:space="0" w:color="auto"/>
        <w:bottom w:val="none" w:sz="0" w:space="0" w:color="auto"/>
        <w:right w:val="none" w:sz="0" w:space="0" w:color="auto"/>
      </w:divBdr>
    </w:div>
    <w:div w:id="1197936229">
      <w:marLeft w:val="0"/>
      <w:marRight w:val="0"/>
      <w:marTop w:val="10"/>
      <w:marBottom w:val="10"/>
      <w:divBdr>
        <w:top w:val="none" w:sz="0" w:space="0" w:color="auto"/>
        <w:left w:val="none" w:sz="0" w:space="0" w:color="auto"/>
        <w:bottom w:val="none" w:sz="0" w:space="0" w:color="auto"/>
        <w:right w:val="none" w:sz="0" w:space="0" w:color="auto"/>
      </w:divBdr>
    </w:div>
    <w:div w:id="1279026584">
      <w:marLeft w:val="0"/>
      <w:marRight w:val="0"/>
      <w:marTop w:val="10"/>
      <w:marBottom w:val="10"/>
      <w:divBdr>
        <w:top w:val="none" w:sz="0" w:space="0" w:color="auto"/>
        <w:left w:val="none" w:sz="0" w:space="0" w:color="auto"/>
        <w:bottom w:val="none" w:sz="0" w:space="0" w:color="auto"/>
        <w:right w:val="none" w:sz="0" w:space="0" w:color="auto"/>
      </w:divBdr>
    </w:div>
    <w:div w:id="1368530941">
      <w:marLeft w:val="0"/>
      <w:marRight w:val="0"/>
      <w:marTop w:val="10"/>
      <w:marBottom w:val="10"/>
      <w:divBdr>
        <w:top w:val="none" w:sz="0" w:space="0" w:color="auto"/>
        <w:left w:val="none" w:sz="0" w:space="0" w:color="auto"/>
        <w:bottom w:val="none" w:sz="0" w:space="0" w:color="auto"/>
        <w:right w:val="none" w:sz="0" w:space="0" w:color="auto"/>
      </w:divBdr>
    </w:div>
    <w:div w:id="1374698254">
      <w:marLeft w:val="0"/>
      <w:marRight w:val="0"/>
      <w:marTop w:val="10"/>
      <w:marBottom w:val="10"/>
      <w:divBdr>
        <w:top w:val="none" w:sz="0" w:space="0" w:color="auto"/>
        <w:left w:val="none" w:sz="0" w:space="0" w:color="auto"/>
        <w:bottom w:val="none" w:sz="0" w:space="0" w:color="auto"/>
        <w:right w:val="none" w:sz="0" w:space="0" w:color="auto"/>
      </w:divBdr>
    </w:div>
    <w:div w:id="1388409611">
      <w:marLeft w:val="0"/>
      <w:marRight w:val="0"/>
      <w:marTop w:val="10"/>
      <w:marBottom w:val="10"/>
      <w:divBdr>
        <w:top w:val="none" w:sz="0" w:space="0" w:color="auto"/>
        <w:left w:val="none" w:sz="0" w:space="0" w:color="auto"/>
        <w:bottom w:val="none" w:sz="0" w:space="0" w:color="auto"/>
        <w:right w:val="none" w:sz="0" w:space="0" w:color="auto"/>
      </w:divBdr>
    </w:div>
    <w:div w:id="1413241055">
      <w:marLeft w:val="0"/>
      <w:marRight w:val="0"/>
      <w:marTop w:val="10"/>
      <w:marBottom w:val="10"/>
      <w:divBdr>
        <w:top w:val="none" w:sz="0" w:space="0" w:color="auto"/>
        <w:left w:val="none" w:sz="0" w:space="0" w:color="auto"/>
        <w:bottom w:val="none" w:sz="0" w:space="0" w:color="auto"/>
        <w:right w:val="none" w:sz="0" w:space="0" w:color="auto"/>
      </w:divBdr>
    </w:div>
    <w:div w:id="1566407994">
      <w:marLeft w:val="0"/>
      <w:marRight w:val="0"/>
      <w:marTop w:val="10"/>
      <w:marBottom w:val="10"/>
      <w:divBdr>
        <w:top w:val="none" w:sz="0" w:space="0" w:color="auto"/>
        <w:left w:val="none" w:sz="0" w:space="0" w:color="auto"/>
        <w:bottom w:val="none" w:sz="0" w:space="0" w:color="auto"/>
        <w:right w:val="none" w:sz="0" w:space="0" w:color="auto"/>
      </w:divBdr>
    </w:div>
    <w:div w:id="1723822979">
      <w:marLeft w:val="0"/>
      <w:marRight w:val="0"/>
      <w:marTop w:val="10"/>
      <w:marBottom w:val="10"/>
      <w:divBdr>
        <w:top w:val="none" w:sz="0" w:space="0" w:color="auto"/>
        <w:left w:val="none" w:sz="0" w:space="0" w:color="auto"/>
        <w:bottom w:val="none" w:sz="0" w:space="0" w:color="auto"/>
        <w:right w:val="none" w:sz="0" w:space="0" w:color="auto"/>
      </w:divBdr>
    </w:div>
    <w:div w:id="1834756080">
      <w:marLeft w:val="0"/>
      <w:marRight w:val="720"/>
      <w:marTop w:val="10"/>
      <w:marBottom w:val="10"/>
      <w:divBdr>
        <w:top w:val="none" w:sz="0" w:space="0" w:color="auto"/>
        <w:left w:val="none" w:sz="0" w:space="0" w:color="auto"/>
        <w:bottom w:val="none" w:sz="0" w:space="0" w:color="auto"/>
        <w:right w:val="none" w:sz="0" w:space="0" w:color="auto"/>
      </w:divBdr>
    </w:div>
    <w:div w:id="212333262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283</Words>
  <Characters>1616</Characters>
  <Application>Microsoft Office Word</Application>
  <DocSecurity>0</DocSecurity>
  <Lines>13</Lines>
  <Paragraphs>3</Paragraphs>
  <ScaleCrop>false</ScaleCrop>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2023-04-10T06:56:00Z</dcterms:created>
  <dcterms:modified xsi:type="dcterms:W3CDTF">2023-04-10T06:56:00Z</dcterms:modified>
</cp:coreProperties>
</file>