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10EA3">
      <w:pPr>
        <w:spacing w:line="500" w:lineRule="atLeast"/>
        <w:jc w:val="center"/>
        <w:divId w:val="528838093"/>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610EA3">
      <w:pPr>
        <w:spacing w:line="500" w:lineRule="atLeast"/>
        <w:jc w:val="center"/>
        <w:divId w:val="186948720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10EA3">
      <w:pPr>
        <w:spacing w:line="500" w:lineRule="atLeast"/>
        <w:jc w:val="right"/>
        <w:divId w:val="1962566914"/>
        <w:rPr>
          <w:rFonts w:hint="eastAsia"/>
          <w:sz w:val="30"/>
          <w:szCs w:val="30"/>
        </w:rPr>
      </w:pPr>
      <w:r>
        <w:rPr>
          <w:rFonts w:hint="eastAsia"/>
          <w:sz w:val="30"/>
          <w:szCs w:val="30"/>
        </w:rPr>
        <w:t>（</w:t>
      </w:r>
      <w:r>
        <w:rPr>
          <w:rFonts w:hint="eastAsia"/>
          <w:sz w:val="30"/>
          <w:szCs w:val="30"/>
        </w:rPr>
        <w:t>2019</w:t>
      </w:r>
      <w:r>
        <w:rPr>
          <w:rFonts w:hint="eastAsia"/>
          <w:sz w:val="30"/>
          <w:szCs w:val="30"/>
        </w:rPr>
        <w:t>）沪民申</w:t>
      </w:r>
      <w:r>
        <w:rPr>
          <w:rFonts w:hint="eastAsia"/>
          <w:sz w:val="30"/>
          <w:szCs w:val="30"/>
        </w:rPr>
        <w:t>642</w:t>
      </w:r>
      <w:r>
        <w:rPr>
          <w:rFonts w:hint="eastAsia"/>
          <w:sz w:val="30"/>
          <w:szCs w:val="30"/>
        </w:rPr>
        <w:t>号</w:t>
      </w:r>
    </w:p>
    <w:p w:rsidR="00000000" w:rsidRDefault="00610EA3">
      <w:pPr>
        <w:spacing w:line="500" w:lineRule="atLeast"/>
        <w:ind w:firstLine="600"/>
        <w:divId w:val="862329169"/>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：周琛婕，女，</w:t>
      </w:r>
      <w:r>
        <w:rPr>
          <w:rFonts w:hint="eastAsia"/>
          <w:sz w:val="30"/>
          <w:szCs w:val="30"/>
        </w:rPr>
        <w:t>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日出生，汉族，户籍所在地上海市徐汇区，现住上海市徐汇区。</w:t>
      </w:r>
    </w:p>
    <w:p w:rsidR="00000000" w:rsidRDefault="00610EA3">
      <w:pPr>
        <w:spacing w:line="500" w:lineRule="atLeast"/>
        <w:ind w:firstLine="600"/>
        <w:divId w:val="998733466"/>
        <w:rPr>
          <w:rFonts w:hint="eastAsia"/>
          <w:sz w:val="30"/>
          <w:szCs w:val="30"/>
        </w:rPr>
      </w:pPr>
      <w:r>
        <w:rPr>
          <w:rFonts w:hint="eastAsia"/>
          <w:sz w:val="30"/>
          <w:szCs w:val="30"/>
        </w:rPr>
        <w:t>法定代理人：周华仁</w:t>
      </w:r>
      <w:r>
        <w:rPr>
          <w:rFonts w:hint="eastAsia"/>
          <w:sz w:val="30"/>
          <w:szCs w:val="30"/>
        </w:rPr>
        <w:t>(</w:t>
      </w:r>
      <w:r>
        <w:rPr>
          <w:rFonts w:hint="eastAsia"/>
          <w:sz w:val="30"/>
          <w:szCs w:val="30"/>
        </w:rPr>
        <w:t>系申请人周琛婕父亲</w:t>
      </w:r>
      <w:r>
        <w:rPr>
          <w:rFonts w:hint="eastAsia"/>
          <w:sz w:val="30"/>
          <w:szCs w:val="30"/>
        </w:rPr>
        <w:t>)</w:t>
      </w:r>
      <w:r>
        <w:rPr>
          <w:rFonts w:hint="eastAsia"/>
          <w:sz w:val="30"/>
          <w:szCs w:val="30"/>
        </w:rPr>
        <w:t>，男，</w:t>
      </w:r>
      <w:r>
        <w:rPr>
          <w:rFonts w:hint="eastAsia"/>
          <w:sz w:val="30"/>
          <w:szCs w:val="30"/>
        </w:rPr>
        <w:t>X</w:t>
      </w:r>
      <w:r>
        <w:rPr>
          <w:rFonts w:hint="eastAsia"/>
          <w:sz w:val="30"/>
          <w:szCs w:val="30"/>
        </w:rPr>
        <w:t>年</w:t>
      </w:r>
      <w:r>
        <w:rPr>
          <w:rFonts w:hint="eastAsia"/>
          <w:sz w:val="30"/>
          <w:szCs w:val="30"/>
        </w:rPr>
        <w:t>X</w:t>
      </w:r>
      <w:r>
        <w:rPr>
          <w:rFonts w:hint="eastAsia"/>
          <w:sz w:val="30"/>
          <w:szCs w:val="30"/>
        </w:rPr>
        <w:t>月</w:t>
      </w:r>
      <w:r>
        <w:rPr>
          <w:rFonts w:hint="eastAsia"/>
          <w:sz w:val="30"/>
          <w:szCs w:val="30"/>
        </w:rPr>
        <w:t>X</w:t>
      </w:r>
      <w:r>
        <w:rPr>
          <w:rFonts w:hint="eastAsia"/>
          <w:sz w:val="30"/>
          <w:szCs w:val="30"/>
        </w:rPr>
        <w:t>日出生，汉族，户籍所在地上海市徐汇区，现住上海市徐汇区。</w:t>
      </w:r>
    </w:p>
    <w:p w:rsidR="00000000" w:rsidRDefault="00610EA3">
      <w:pPr>
        <w:spacing w:line="500" w:lineRule="atLeast"/>
        <w:ind w:firstLine="600"/>
        <w:divId w:val="676660745"/>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：上海交通大学医学院附属瑞金医院，住所地上海市黄浦区。</w:t>
      </w:r>
    </w:p>
    <w:p w:rsidR="00000000" w:rsidRDefault="00610EA3">
      <w:pPr>
        <w:spacing w:line="500" w:lineRule="atLeast"/>
        <w:ind w:firstLine="600"/>
        <w:divId w:val="179121521"/>
        <w:rPr>
          <w:rFonts w:hint="eastAsia"/>
          <w:sz w:val="30"/>
          <w:szCs w:val="30"/>
        </w:rPr>
      </w:pPr>
      <w:r>
        <w:rPr>
          <w:rFonts w:hint="eastAsia"/>
          <w:sz w:val="30"/>
          <w:szCs w:val="30"/>
        </w:rPr>
        <w:t>法定代表人：瞿介明，院长。</w:t>
      </w:r>
    </w:p>
    <w:p w:rsidR="00000000" w:rsidRDefault="00610EA3">
      <w:pPr>
        <w:spacing w:line="500" w:lineRule="atLeast"/>
        <w:ind w:firstLine="600"/>
        <w:divId w:val="1680695468"/>
        <w:rPr>
          <w:rFonts w:hint="eastAsia"/>
          <w:sz w:val="30"/>
          <w:szCs w:val="30"/>
        </w:rPr>
      </w:pPr>
      <w:r>
        <w:rPr>
          <w:rFonts w:hint="eastAsia"/>
          <w:sz w:val="30"/>
          <w:szCs w:val="30"/>
        </w:rPr>
        <w:t>再审申请人周琛婕因与被申请人上海交通大学医学院附属瑞金医院</w:t>
      </w:r>
      <w:r>
        <w:rPr>
          <w:rFonts w:hint="eastAsia"/>
          <w:sz w:val="30"/>
          <w:szCs w:val="30"/>
        </w:rPr>
        <w:t>(</w:t>
      </w:r>
      <w:r>
        <w:rPr>
          <w:rFonts w:hint="eastAsia"/>
          <w:sz w:val="30"/>
          <w:szCs w:val="30"/>
        </w:rPr>
        <w:t>以下简称瑞金医院</w:t>
      </w:r>
      <w:r>
        <w:rPr>
          <w:rFonts w:hint="eastAsia"/>
          <w:sz w:val="30"/>
          <w:szCs w:val="30"/>
        </w:rPr>
        <w:t>)</w:t>
      </w:r>
      <w:r>
        <w:rPr>
          <w:rFonts w:hint="eastAsia"/>
          <w:sz w:val="30"/>
          <w:szCs w:val="30"/>
        </w:rPr>
        <w:t>医疗损害责任纠纷一案，不服上海市第二中级人民法院</w:t>
      </w:r>
      <w:r>
        <w:rPr>
          <w:rFonts w:hint="eastAsia"/>
          <w:sz w:val="30"/>
          <w:szCs w:val="30"/>
        </w:rPr>
        <w:t>(2018)</w:t>
      </w:r>
      <w:r>
        <w:rPr>
          <w:rFonts w:hint="eastAsia"/>
          <w:sz w:val="30"/>
          <w:szCs w:val="30"/>
        </w:rPr>
        <w:t>沪</w:t>
      </w:r>
      <w:r>
        <w:rPr>
          <w:rFonts w:hint="eastAsia"/>
          <w:sz w:val="30"/>
          <w:szCs w:val="30"/>
        </w:rPr>
        <w:t>02</w:t>
      </w:r>
      <w:r>
        <w:rPr>
          <w:rFonts w:hint="eastAsia"/>
          <w:sz w:val="30"/>
          <w:szCs w:val="30"/>
        </w:rPr>
        <w:t>民终</w:t>
      </w:r>
      <w:r>
        <w:rPr>
          <w:rFonts w:hint="eastAsia"/>
          <w:sz w:val="30"/>
          <w:szCs w:val="30"/>
        </w:rPr>
        <w:t>8978</w:t>
      </w:r>
      <w:r>
        <w:rPr>
          <w:rFonts w:hint="eastAsia"/>
          <w:sz w:val="30"/>
          <w:szCs w:val="30"/>
        </w:rPr>
        <w:t>号民事判决，向本院申请再审。本院依法组成合议庭进行了审查，现已审查终结。</w:t>
      </w:r>
    </w:p>
    <w:p w:rsidR="00000000" w:rsidRDefault="00610EA3">
      <w:pPr>
        <w:spacing w:line="500" w:lineRule="atLeast"/>
        <w:ind w:firstLine="600"/>
        <w:divId w:val="1441994604"/>
        <w:rPr>
          <w:rFonts w:hint="eastAsia"/>
          <w:sz w:val="30"/>
          <w:szCs w:val="30"/>
        </w:rPr>
      </w:pPr>
      <w:r>
        <w:rPr>
          <w:rFonts w:hint="eastAsia"/>
          <w:sz w:val="30"/>
          <w:szCs w:val="30"/>
        </w:rPr>
        <w:t>周琛婕申请再审称：本案被申请人存在未履行充分的手术风险提示说明义务等过错行为；原审法院就精神损害抚慰金的厘定未按百分之十计算，未支持残疾生活辅助费用，且证据效力裁量有误；综上，原审法院存在程序违法，相应认定属于事实不清、法律适用错误，应予再审。</w:t>
      </w:r>
    </w:p>
    <w:p w:rsidR="00000000" w:rsidRDefault="00610EA3">
      <w:pPr>
        <w:spacing w:line="500" w:lineRule="atLeast"/>
        <w:ind w:firstLine="600"/>
        <w:divId w:val="611059762"/>
        <w:rPr>
          <w:rFonts w:hint="eastAsia"/>
          <w:sz w:val="30"/>
          <w:szCs w:val="30"/>
        </w:rPr>
      </w:pPr>
      <w:r>
        <w:rPr>
          <w:rFonts w:hint="eastAsia"/>
          <w:sz w:val="30"/>
          <w:szCs w:val="30"/>
        </w:rPr>
        <w:t>本院认为：依现行医疗损害责任纠纷处理</w:t>
      </w:r>
      <w:r>
        <w:rPr>
          <w:rFonts w:hint="eastAsia"/>
          <w:sz w:val="30"/>
          <w:szCs w:val="30"/>
        </w:rPr>
        <w:t>规则，具有法定资质的医疗事故鉴定机构出具的鉴定意见书，对于认定被申请人诊疗过程是否存在医疗过错、该过错是否构成医疗损害、若构成医疗损害其人身医疗损害等级和医疗过错的责任程度等争议事实具有法定的证据效力。原审法院依据在案鉴定结论，对</w:t>
      </w:r>
      <w:r>
        <w:rPr>
          <w:rFonts w:hint="eastAsia"/>
          <w:sz w:val="30"/>
          <w:szCs w:val="30"/>
        </w:rPr>
        <w:lastRenderedPageBreak/>
        <w:t>于医疗纠纷中医方的诊疗行为及其责任份额予以裁量，并无不当</w:t>
      </w:r>
      <w:r>
        <w:rPr>
          <w:rFonts w:hint="eastAsia"/>
          <w:sz w:val="30"/>
          <w:szCs w:val="30"/>
        </w:rPr>
        <w:t>;</w:t>
      </w:r>
      <w:r>
        <w:rPr>
          <w:rFonts w:hint="eastAsia"/>
          <w:sz w:val="30"/>
          <w:szCs w:val="30"/>
        </w:rPr>
        <w:t>未采申请人关于责任比例的主张，符合日常生活经验认知，本院予以维持。本院需指出：精神损害抚慰金数额的裁量应与涉案损害性质及涉案人实际损害结果等案情综合确定，本案系争损害发生于正常医疗行为中，与故意人身侵权行为有本质区别；且就本</w:t>
      </w:r>
      <w:r>
        <w:rPr>
          <w:rFonts w:hint="eastAsia"/>
          <w:sz w:val="30"/>
          <w:szCs w:val="30"/>
        </w:rPr>
        <w:t>案系争损害结果而言，申请人主张适用精神损害抚慰金法定上限为计算基数，与法有悖，本院不予采纳。经本院审查：原审就相关赔偿项目及赔偿金额的裁量并无不当，本院予以维持。综上，申请人的再审申请不属于《中华人民共和国民事诉讼法》第二百条规定的再审事由，本院不予支持。</w:t>
      </w:r>
    </w:p>
    <w:p w:rsidR="00000000" w:rsidRDefault="00610EA3">
      <w:pPr>
        <w:spacing w:line="500" w:lineRule="atLeast"/>
        <w:ind w:firstLine="600"/>
        <w:divId w:val="1876430175"/>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610EA3">
      <w:pPr>
        <w:spacing w:line="500" w:lineRule="atLeast"/>
        <w:ind w:firstLine="600"/>
        <w:divId w:val="1988582595"/>
        <w:rPr>
          <w:rFonts w:hint="eastAsia"/>
          <w:sz w:val="30"/>
          <w:szCs w:val="30"/>
        </w:rPr>
      </w:pPr>
      <w:r>
        <w:rPr>
          <w:rFonts w:hint="eastAsia"/>
          <w:sz w:val="30"/>
          <w:szCs w:val="30"/>
        </w:rPr>
        <w:t>驳回周琛婕的再审申请。</w:t>
      </w:r>
    </w:p>
    <w:p w:rsidR="00000000" w:rsidRDefault="00610EA3">
      <w:pPr>
        <w:spacing w:line="500" w:lineRule="atLeast"/>
        <w:jc w:val="right"/>
        <w:divId w:val="125975399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罗健豪</w:t>
      </w:r>
    </w:p>
    <w:p w:rsidR="00000000" w:rsidRDefault="00610EA3">
      <w:pPr>
        <w:spacing w:line="500" w:lineRule="atLeast"/>
        <w:jc w:val="right"/>
        <w:divId w:val="132292512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林　岚</w:t>
      </w:r>
    </w:p>
    <w:p w:rsidR="00000000" w:rsidRDefault="00610EA3">
      <w:pPr>
        <w:spacing w:line="500" w:lineRule="atLeast"/>
        <w:jc w:val="right"/>
        <w:divId w:val="104852848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赵武罡</w:t>
      </w:r>
    </w:p>
    <w:p w:rsidR="00000000" w:rsidRDefault="00610EA3">
      <w:pPr>
        <w:spacing w:line="500" w:lineRule="atLeast"/>
        <w:jc w:val="right"/>
        <w:divId w:val="1515269930"/>
        <w:rPr>
          <w:rFonts w:hint="eastAsia"/>
          <w:sz w:val="30"/>
          <w:szCs w:val="30"/>
        </w:rPr>
      </w:pPr>
      <w:r>
        <w:rPr>
          <w:rFonts w:hint="eastAsia"/>
          <w:sz w:val="30"/>
          <w:szCs w:val="30"/>
        </w:rPr>
        <w:t>二〇二〇年五月二十日</w:t>
      </w:r>
    </w:p>
    <w:p w:rsidR="00000000" w:rsidRDefault="00610EA3">
      <w:pPr>
        <w:spacing w:line="500" w:lineRule="atLeast"/>
        <w:jc w:val="right"/>
        <w:divId w:val="1980378351"/>
        <w:rPr>
          <w:rFonts w:hint="eastAsia"/>
          <w:sz w:val="30"/>
          <w:szCs w:val="30"/>
        </w:rPr>
      </w:pPr>
      <w:r>
        <w:rPr>
          <w:rFonts w:hint="eastAsia"/>
          <w:sz w:val="30"/>
          <w:szCs w:val="30"/>
        </w:rPr>
        <w:t>法官助理　高　玥</w:t>
      </w:r>
    </w:p>
    <w:p w:rsidR="00000000" w:rsidRDefault="00610EA3">
      <w:pPr>
        <w:spacing w:line="500" w:lineRule="atLeast"/>
        <w:jc w:val="right"/>
        <w:divId w:val="1369599636"/>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高　玥</w:t>
      </w:r>
    </w:p>
    <w:p w:rsidR="00000000" w:rsidRDefault="00610EA3">
      <w:pPr>
        <w:spacing w:line="500" w:lineRule="atLeast"/>
        <w:ind w:firstLine="600"/>
        <w:divId w:val="1057125950"/>
        <w:rPr>
          <w:rFonts w:hint="eastAsia"/>
          <w:sz w:val="30"/>
          <w:szCs w:val="30"/>
        </w:rPr>
      </w:pPr>
      <w:r>
        <w:rPr>
          <w:rFonts w:hint="eastAsia"/>
          <w:sz w:val="30"/>
          <w:szCs w:val="30"/>
        </w:rPr>
        <w:t>附：相关法律条文</w:t>
      </w:r>
    </w:p>
    <w:p w:rsidR="00000000" w:rsidRDefault="00610EA3">
      <w:pPr>
        <w:spacing w:line="500" w:lineRule="atLeast"/>
        <w:ind w:firstLine="600"/>
        <w:divId w:val="1670253187"/>
        <w:rPr>
          <w:rFonts w:hint="eastAsia"/>
          <w:sz w:val="30"/>
          <w:szCs w:val="30"/>
        </w:rPr>
      </w:pPr>
      <w:r>
        <w:rPr>
          <w:rFonts w:hint="eastAsia"/>
          <w:sz w:val="30"/>
          <w:szCs w:val="30"/>
        </w:rPr>
        <w:t>一、《中华人民共和国民事诉讼法》</w:t>
      </w:r>
    </w:p>
    <w:p w:rsidR="00000000" w:rsidRDefault="00610EA3">
      <w:pPr>
        <w:spacing w:line="500" w:lineRule="atLeast"/>
        <w:ind w:firstLine="600"/>
        <w:divId w:val="1308046081"/>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610EA3">
      <w:pPr>
        <w:spacing w:line="500" w:lineRule="atLeast"/>
        <w:ind w:firstLine="600"/>
        <w:divId w:val="1399596858"/>
        <w:rPr>
          <w:rFonts w:hint="eastAsia"/>
          <w:sz w:val="30"/>
          <w:szCs w:val="30"/>
        </w:rPr>
      </w:pPr>
      <w:r>
        <w:rPr>
          <w:rFonts w:hint="eastAsia"/>
          <w:sz w:val="30"/>
          <w:szCs w:val="30"/>
        </w:rPr>
        <w:t>……</w:t>
      </w:r>
    </w:p>
    <w:p w:rsidR="00000000" w:rsidRDefault="00610EA3">
      <w:pPr>
        <w:spacing w:line="500" w:lineRule="atLeast"/>
        <w:ind w:firstLine="600"/>
        <w:divId w:val="1809396402"/>
        <w:rPr>
          <w:rFonts w:hint="eastAsia"/>
          <w:sz w:val="30"/>
          <w:szCs w:val="30"/>
        </w:rPr>
      </w:pPr>
      <w:r>
        <w:rPr>
          <w:rFonts w:hint="eastAsia"/>
          <w:sz w:val="30"/>
          <w:szCs w:val="30"/>
        </w:rPr>
        <w:t>二、《最高人民法院关于适</w:t>
      </w:r>
      <w:r>
        <w:rPr>
          <w:rFonts w:hint="eastAsia"/>
          <w:sz w:val="30"/>
          <w:szCs w:val="30"/>
        </w:rPr>
        <w:t>用</w:t>
      </w:r>
      <w:r>
        <w:rPr>
          <w:rFonts w:hint="eastAsia"/>
          <w:sz w:val="30"/>
          <w:szCs w:val="30"/>
        </w:rPr>
        <w:t>的解释》</w:t>
      </w:r>
    </w:p>
    <w:p w:rsidR="00000000" w:rsidRDefault="00610EA3">
      <w:pPr>
        <w:spacing w:line="500" w:lineRule="atLeast"/>
        <w:ind w:firstLine="600"/>
        <w:divId w:val="1669207652"/>
        <w:rPr>
          <w:rFonts w:hint="eastAsia"/>
          <w:sz w:val="30"/>
          <w:szCs w:val="30"/>
        </w:rPr>
      </w:pPr>
      <w:r>
        <w:rPr>
          <w:rFonts w:hint="eastAsia"/>
          <w:sz w:val="30"/>
          <w:szCs w:val="30"/>
        </w:rPr>
        <w:lastRenderedPageBreak/>
        <w:t>第三百九十五条……</w:t>
      </w:r>
    </w:p>
    <w:p w:rsidR="00000000" w:rsidRDefault="00610EA3">
      <w:pPr>
        <w:spacing w:line="500" w:lineRule="atLeast"/>
        <w:ind w:firstLine="600"/>
        <w:divId w:val="459493065"/>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EA3" w:rsidRDefault="00610EA3" w:rsidP="00610EA3">
      <w:r>
        <w:separator/>
      </w:r>
    </w:p>
  </w:endnote>
  <w:endnote w:type="continuationSeparator" w:id="0">
    <w:p w:rsidR="00610EA3" w:rsidRDefault="00610EA3" w:rsidP="0061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EA3" w:rsidRDefault="00610EA3" w:rsidP="00610EA3">
      <w:r>
        <w:separator/>
      </w:r>
    </w:p>
  </w:footnote>
  <w:footnote w:type="continuationSeparator" w:id="0">
    <w:p w:rsidR="00610EA3" w:rsidRDefault="00610EA3" w:rsidP="00610E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0EA3"/>
    <w:rsid w:val="0061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10E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0EA3"/>
    <w:rPr>
      <w:rFonts w:ascii="宋体" w:eastAsia="宋体" w:hAnsi="宋体" w:cs="宋体"/>
      <w:sz w:val="18"/>
      <w:szCs w:val="18"/>
    </w:rPr>
  </w:style>
  <w:style w:type="paragraph" w:styleId="a5">
    <w:name w:val="footer"/>
    <w:basedOn w:val="a"/>
    <w:link w:val="a6"/>
    <w:uiPriority w:val="99"/>
    <w:unhideWhenUsed/>
    <w:rsid w:val="00610EA3"/>
    <w:pPr>
      <w:tabs>
        <w:tab w:val="center" w:pos="4153"/>
        <w:tab w:val="right" w:pos="8306"/>
      </w:tabs>
      <w:snapToGrid w:val="0"/>
    </w:pPr>
    <w:rPr>
      <w:sz w:val="18"/>
      <w:szCs w:val="18"/>
    </w:rPr>
  </w:style>
  <w:style w:type="character" w:customStyle="1" w:styleId="a6">
    <w:name w:val="页脚 字符"/>
    <w:basedOn w:val="a0"/>
    <w:link w:val="a5"/>
    <w:uiPriority w:val="99"/>
    <w:rsid w:val="00610EA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1521">
      <w:marLeft w:val="0"/>
      <w:marRight w:val="0"/>
      <w:marTop w:val="10"/>
      <w:marBottom w:val="10"/>
      <w:divBdr>
        <w:top w:val="none" w:sz="0" w:space="0" w:color="auto"/>
        <w:left w:val="none" w:sz="0" w:space="0" w:color="auto"/>
        <w:bottom w:val="none" w:sz="0" w:space="0" w:color="auto"/>
        <w:right w:val="none" w:sz="0" w:space="0" w:color="auto"/>
      </w:divBdr>
    </w:div>
    <w:div w:id="459493065">
      <w:marLeft w:val="0"/>
      <w:marRight w:val="0"/>
      <w:marTop w:val="10"/>
      <w:marBottom w:val="10"/>
      <w:divBdr>
        <w:top w:val="none" w:sz="0" w:space="0" w:color="auto"/>
        <w:left w:val="none" w:sz="0" w:space="0" w:color="auto"/>
        <w:bottom w:val="none" w:sz="0" w:space="0" w:color="auto"/>
        <w:right w:val="none" w:sz="0" w:space="0" w:color="auto"/>
      </w:divBdr>
    </w:div>
    <w:div w:id="528838093">
      <w:marLeft w:val="0"/>
      <w:marRight w:val="0"/>
      <w:marTop w:val="10"/>
      <w:marBottom w:val="10"/>
      <w:divBdr>
        <w:top w:val="none" w:sz="0" w:space="0" w:color="auto"/>
        <w:left w:val="none" w:sz="0" w:space="0" w:color="auto"/>
        <w:bottom w:val="none" w:sz="0" w:space="0" w:color="auto"/>
        <w:right w:val="none" w:sz="0" w:space="0" w:color="auto"/>
      </w:divBdr>
    </w:div>
    <w:div w:id="611059762">
      <w:marLeft w:val="0"/>
      <w:marRight w:val="0"/>
      <w:marTop w:val="10"/>
      <w:marBottom w:val="10"/>
      <w:divBdr>
        <w:top w:val="none" w:sz="0" w:space="0" w:color="auto"/>
        <w:left w:val="none" w:sz="0" w:space="0" w:color="auto"/>
        <w:bottom w:val="none" w:sz="0" w:space="0" w:color="auto"/>
        <w:right w:val="none" w:sz="0" w:space="0" w:color="auto"/>
      </w:divBdr>
    </w:div>
    <w:div w:id="676660745">
      <w:marLeft w:val="0"/>
      <w:marRight w:val="0"/>
      <w:marTop w:val="10"/>
      <w:marBottom w:val="10"/>
      <w:divBdr>
        <w:top w:val="none" w:sz="0" w:space="0" w:color="auto"/>
        <w:left w:val="none" w:sz="0" w:space="0" w:color="auto"/>
        <w:bottom w:val="none" w:sz="0" w:space="0" w:color="auto"/>
        <w:right w:val="none" w:sz="0" w:space="0" w:color="auto"/>
      </w:divBdr>
    </w:div>
    <w:div w:id="862329169">
      <w:marLeft w:val="0"/>
      <w:marRight w:val="0"/>
      <w:marTop w:val="10"/>
      <w:marBottom w:val="10"/>
      <w:divBdr>
        <w:top w:val="none" w:sz="0" w:space="0" w:color="auto"/>
        <w:left w:val="none" w:sz="0" w:space="0" w:color="auto"/>
        <w:bottom w:val="none" w:sz="0" w:space="0" w:color="auto"/>
        <w:right w:val="none" w:sz="0" w:space="0" w:color="auto"/>
      </w:divBdr>
    </w:div>
    <w:div w:id="998733466">
      <w:marLeft w:val="0"/>
      <w:marRight w:val="0"/>
      <w:marTop w:val="10"/>
      <w:marBottom w:val="10"/>
      <w:divBdr>
        <w:top w:val="none" w:sz="0" w:space="0" w:color="auto"/>
        <w:left w:val="none" w:sz="0" w:space="0" w:color="auto"/>
        <w:bottom w:val="none" w:sz="0" w:space="0" w:color="auto"/>
        <w:right w:val="none" w:sz="0" w:space="0" w:color="auto"/>
      </w:divBdr>
    </w:div>
    <w:div w:id="1048528483">
      <w:marLeft w:val="0"/>
      <w:marRight w:val="720"/>
      <w:marTop w:val="10"/>
      <w:marBottom w:val="10"/>
      <w:divBdr>
        <w:top w:val="none" w:sz="0" w:space="0" w:color="auto"/>
        <w:left w:val="none" w:sz="0" w:space="0" w:color="auto"/>
        <w:bottom w:val="none" w:sz="0" w:space="0" w:color="auto"/>
        <w:right w:val="none" w:sz="0" w:space="0" w:color="auto"/>
      </w:divBdr>
    </w:div>
    <w:div w:id="1057125950">
      <w:marLeft w:val="0"/>
      <w:marRight w:val="0"/>
      <w:marTop w:val="10"/>
      <w:marBottom w:val="10"/>
      <w:divBdr>
        <w:top w:val="none" w:sz="0" w:space="0" w:color="auto"/>
        <w:left w:val="none" w:sz="0" w:space="0" w:color="auto"/>
        <w:bottom w:val="none" w:sz="0" w:space="0" w:color="auto"/>
        <w:right w:val="none" w:sz="0" w:space="0" w:color="auto"/>
      </w:divBdr>
    </w:div>
    <w:div w:id="1259753993">
      <w:marLeft w:val="0"/>
      <w:marRight w:val="720"/>
      <w:marTop w:val="10"/>
      <w:marBottom w:val="10"/>
      <w:divBdr>
        <w:top w:val="none" w:sz="0" w:space="0" w:color="auto"/>
        <w:left w:val="none" w:sz="0" w:space="0" w:color="auto"/>
        <w:bottom w:val="none" w:sz="0" w:space="0" w:color="auto"/>
        <w:right w:val="none" w:sz="0" w:space="0" w:color="auto"/>
      </w:divBdr>
    </w:div>
    <w:div w:id="1308046081">
      <w:marLeft w:val="0"/>
      <w:marRight w:val="0"/>
      <w:marTop w:val="10"/>
      <w:marBottom w:val="10"/>
      <w:divBdr>
        <w:top w:val="none" w:sz="0" w:space="0" w:color="auto"/>
        <w:left w:val="none" w:sz="0" w:space="0" w:color="auto"/>
        <w:bottom w:val="none" w:sz="0" w:space="0" w:color="auto"/>
        <w:right w:val="none" w:sz="0" w:space="0" w:color="auto"/>
      </w:divBdr>
    </w:div>
    <w:div w:id="1322925125">
      <w:marLeft w:val="0"/>
      <w:marRight w:val="720"/>
      <w:marTop w:val="10"/>
      <w:marBottom w:val="10"/>
      <w:divBdr>
        <w:top w:val="none" w:sz="0" w:space="0" w:color="auto"/>
        <w:left w:val="none" w:sz="0" w:space="0" w:color="auto"/>
        <w:bottom w:val="none" w:sz="0" w:space="0" w:color="auto"/>
        <w:right w:val="none" w:sz="0" w:space="0" w:color="auto"/>
      </w:divBdr>
    </w:div>
    <w:div w:id="1369599636">
      <w:marLeft w:val="0"/>
      <w:marRight w:val="720"/>
      <w:marTop w:val="10"/>
      <w:marBottom w:val="10"/>
      <w:divBdr>
        <w:top w:val="none" w:sz="0" w:space="0" w:color="auto"/>
        <w:left w:val="none" w:sz="0" w:space="0" w:color="auto"/>
        <w:bottom w:val="none" w:sz="0" w:space="0" w:color="auto"/>
        <w:right w:val="none" w:sz="0" w:space="0" w:color="auto"/>
      </w:divBdr>
    </w:div>
    <w:div w:id="1399596858">
      <w:marLeft w:val="0"/>
      <w:marRight w:val="0"/>
      <w:marTop w:val="10"/>
      <w:marBottom w:val="10"/>
      <w:divBdr>
        <w:top w:val="none" w:sz="0" w:space="0" w:color="auto"/>
        <w:left w:val="none" w:sz="0" w:space="0" w:color="auto"/>
        <w:bottom w:val="none" w:sz="0" w:space="0" w:color="auto"/>
        <w:right w:val="none" w:sz="0" w:space="0" w:color="auto"/>
      </w:divBdr>
    </w:div>
    <w:div w:id="1441994604">
      <w:marLeft w:val="0"/>
      <w:marRight w:val="0"/>
      <w:marTop w:val="10"/>
      <w:marBottom w:val="10"/>
      <w:divBdr>
        <w:top w:val="none" w:sz="0" w:space="0" w:color="auto"/>
        <w:left w:val="none" w:sz="0" w:space="0" w:color="auto"/>
        <w:bottom w:val="none" w:sz="0" w:space="0" w:color="auto"/>
        <w:right w:val="none" w:sz="0" w:space="0" w:color="auto"/>
      </w:divBdr>
    </w:div>
    <w:div w:id="1515269930">
      <w:marLeft w:val="0"/>
      <w:marRight w:val="720"/>
      <w:marTop w:val="10"/>
      <w:marBottom w:val="10"/>
      <w:divBdr>
        <w:top w:val="none" w:sz="0" w:space="0" w:color="auto"/>
        <w:left w:val="none" w:sz="0" w:space="0" w:color="auto"/>
        <w:bottom w:val="none" w:sz="0" w:space="0" w:color="auto"/>
        <w:right w:val="none" w:sz="0" w:space="0" w:color="auto"/>
      </w:divBdr>
    </w:div>
    <w:div w:id="1669207652">
      <w:marLeft w:val="0"/>
      <w:marRight w:val="0"/>
      <w:marTop w:val="10"/>
      <w:marBottom w:val="10"/>
      <w:divBdr>
        <w:top w:val="none" w:sz="0" w:space="0" w:color="auto"/>
        <w:left w:val="none" w:sz="0" w:space="0" w:color="auto"/>
        <w:bottom w:val="none" w:sz="0" w:space="0" w:color="auto"/>
        <w:right w:val="none" w:sz="0" w:space="0" w:color="auto"/>
      </w:divBdr>
    </w:div>
    <w:div w:id="1670253187">
      <w:marLeft w:val="0"/>
      <w:marRight w:val="0"/>
      <w:marTop w:val="10"/>
      <w:marBottom w:val="10"/>
      <w:divBdr>
        <w:top w:val="none" w:sz="0" w:space="0" w:color="auto"/>
        <w:left w:val="none" w:sz="0" w:space="0" w:color="auto"/>
        <w:bottom w:val="none" w:sz="0" w:space="0" w:color="auto"/>
        <w:right w:val="none" w:sz="0" w:space="0" w:color="auto"/>
      </w:divBdr>
    </w:div>
    <w:div w:id="1680695468">
      <w:marLeft w:val="0"/>
      <w:marRight w:val="0"/>
      <w:marTop w:val="10"/>
      <w:marBottom w:val="10"/>
      <w:divBdr>
        <w:top w:val="none" w:sz="0" w:space="0" w:color="auto"/>
        <w:left w:val="none" w:sz="0" w:space="0" w:color="auto"/>
        <w:bottom w:val="none" w:sz="0" w:space="0" w:color="auto"/>
        <w:right w:val="none" w:sz="0" w:space="0" w:color="auto"/>
      </w:divBdr>
    </w:div>
    <w:div w:id="1809396402">
      <w:marLeft w:val="0"/>
      <w:marRight w:val="0"/>
      <w:marTop w:val="10"/>
      <w:marBottom w:val="10"/>
      <w:divBdr>
        <w:top w:val="none" w:sz="0" w:space="0" w:color="auto"/>
        <w:left w:val="none" w:sz="0" w:space="0" w:color="auto"/>
        <w:bottom w:val="none" w:sz="0" w:space="0" w:color="auto"/>
        <w:right w:val="none" w:sz="0" w:space="0" w:color="auto"/>
      </w:divBdr>
    </w:div>
    <w:div w:id="1869487202">
      <w:marLeft w:val="0"/>
      <w:marRight w:val="0"/>
      <w:marTop w:val="10"/>
      <w:marBottom w:val="10"/>
      <w:divBdr>
        <w:top w:val="none" w:sz="0" w:space="0" w:color="auto"/>
        <w:left w:val="none" w:sz="0" w:space="0" w:color="auto"/>
        <w:bottom w:val="none" w:sz="0" w:space="0" w:color="auto"/>
        <w:right w:val="none" w:sz="0" w:space="0" w:color="auto"/>
      </w:divBdr>
    </w:div>
    <w:div w:id="1876430175">
      <w:marLeft w:val="0"/>
      <w:marRight w:val="0"/>
      <w:marTop w:val="10"/>
      <w:marBottom w:val="10"/>
      <w:divBdr>
        <w:top w:val="none" w:sz="0" w:space="0" w:color="auto"/>
        <w:left w:val="none" w:sz="0" w:space="0" w:color="auto"/>
        <w:bottom w:val="none" w:sz="0" w:space="0" w:color="auto"/>
        <w:right w:val="none" w:sz="0" w:space="0" w:color="auto"/>
      </w:divBdr>
    </w:div>
    <w:div w:id="1962566914">
      <w:marLeft w:val="0"/>
      <w:marRight w:val="0"/>
      <w:marTop w:val="10"/>
      <w:marBottom w:val="10"/>
      <w:divBdr>
        <w:top w:val="none" w:sz="0" w:space="0" w:color="auto"/>
        <w:left w:val="none" w:sz="0" w:space="0" w:color="auto"/>
        <w:bottom w:val="none" w:sz="0" w:space="0" w:color="auto"/>
        <w:right w:val="none" w:sz="0" w:space="0" w:color="auto"/>
      </w:divBdr>
    </w:div>
    <w:div w:id="1980378351">
      <w:marLeft w:val="0"/>
      <w:marRight w:val="720"/>
      <w:marTop w:val="10"/>
      <w:marBottom w:val="10"/>
      <w:divBdr>
        <w:top w:val="none" w:sz="0" w:space="0" w:color="auto"/>
        <w:left w:val="none" w:sz="0" w:space="0" w:color="auto"/>
        <w:bottom w:val="none" w:sz="0" w:space="0" w:color="auto"/>
        <w:right w:val="none" w:sz="0" w:space="0" w:color="auto"/>
      </w:divBdr>
    </w:div>
    <w:div w:id="19885825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