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19297B">
      <w:pPr>
        <w:spacing w:line="500" w:lineRule="atLeast"/>
        <w:jc w:val="center"/>
        <w:divId w:val="1040476947"/>
        <w:rPr>
          <w:rFonts w:ascii="黑体" w:eastAsia="黑体" w:hAnsi="黑体"/>
          <w:sz w:val="36"/>
          <w:szCs w:val="36"/>
        </w:rPr>
      </w:pPr>
      <w:bookmarkStart w:id="0" w:name="_GoBack"/>
      <w:bookmarkEnd w:id="0"/>
      <w:r>
        <w:rPr>
          <w:rFonts w:ascii="黑体" w:eastAsia="黑体" w:hAnsi="黑体" w:hint="eastAsia"/>
          <w:sz w:val="36"/>
          <w:szCs w:val="36"/>
        </w:rPr>
        <w:t>江苏省高级人民法院</w:t>
      </w:r>
    </w:p>
    <w:p w:rsidR="00000000" w:rsidRDefault="0019297B">
      <w:pPr>
        <w:spacing w:line="500" w:lineRule="atLeast"/>
        <w:jc w:val="center"/>
        <w:divId w:val="156907687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19297B">
      <w:pPr>
        <w:spacing w:line="500" w:lineRule="atLeast"/>
        <w:jc w:val="right"/>
        <w:divId w:val="493763768"/>
        <w:rPr>
          <w:rFonts w:hint="eastAsia"/>
          <w:sz w:val="30"/>
          <w:szCs w:val="30"/>
        </w:rPr>
      </w:pPr>
      <w:r>
        <w:rPr>
          <w:rFonts w:hint="eastAsia"/>
          <w:sz w:val="30"/>
          <w:szCs w:val="30"/>
        </w:rPr>
        <w:t>（</w:t>
      </w:r>
      <w:r>
        <w:rPr>
          <w:rFonts w:hint="eastAsia"/>
          <w:sz w:val="30"/>
          <w:szCs w:val="30"/>
        </w:rPr>
        <w:t>2020</w:t>
      </w:r>
      <w:r>
        <w:rPr>
          <w:rFonts w:hint="eastAsia"/>
          <w:sz w:val="30"/>
          <w:szCs w:val="30"/>
        </w:rPr>
        <w:t>）苏民申</w:t>
      </w:r>
      <w:r>
        <w:rPr>
          <w:rFonts w:hint="eastAsia"/>
          <w:sz w:val="30"/>
          <w:szCs w:val="30"/>
        </w:rPr>
        <w:t>3885</w:t>
      </w:r>
      <w:r>
        <w:rPr>
          <w:rFonts w:hint="eastAsia"/>
          <w:sz w:val="30"/>
          <w:szCs w:val="30"/>
        </w:rPr>
        <w:t>号</w:t>
      </w:r>
    </w:p>
    <w:p w:rsidR="00000000" w:rsidRDefault="0019297B">
      <w:pPr>
        <w:spacing w:line="500" w:lineRule="atLeast"/>
        <w:ind w:firstLine="600"/>
        <w:divId w:val="2076708111"/>
        <w:rPr>
          <w:rFonts w:hint="eastAsia"/>
          <w:sz w:val="30"/>
          <w:szCs w:val="30"/>
        </w:rPr>
      </w:pPr>
      <w:r>
        <w:rPr>
          <w:rFonts w:hint="eastAsia"/>
          <w:sz w:val="30"/>
          <w:szCs w:val="30"/>
        </w:rPr>
        <w:t>再审申请人（一审原告、二审上诉人）：姚邦明，男，</w:t>
      </w:r>
      <w:r>
        <w:rPr>
          <w:rFonts w:hint="eastAsia"/>
          <w:sz w:val="30"/>
          <w:szCs w:val="30"/>
        </w:rPr>
        <w:t>1987</w:t>
      </w:r>
      <w:r>
        <w:rPr>
          <w:rFonts w:hint="eastAsia"/>
          <w:sz w:val="30"/>
          <w:szCs w:val="30"/>
        </w:rPr>
        <w:t>年</w:t>
      </w:r>
      <w:r>
        <w:rPr>
          <w:rFonts w:hint="eastAsia"/>
          <w:sz w:val="30"/>
          <w:szCs w:val="30"/>
        </w:rPr>
        <w:t>11</w:t>
      </w:r>
      <w:r>
        <w:rPr>
          <w:rFonts w:hint="eastAsia"/>
          <w:sz w:val="30"/>
          <w:szCs w:val="30"/>
        </w:rPr>
        <w:t>月</w:t>
      </w:r>
      <w:r>
        <w:rPr>
          <w:rFonts w:hint="eastAsia"/>
          <w:sz w:val="30"/>
          <w:szCs w:val="30"/>
        </w:rPr>
        <w:t>27</w:t>
      </w:r>
      <w:r>
        <w:rPr>
          <w:rFonts w:hint="eastAsia"/>
          <w:sz w:val="30"/>
          <w:szCs w:val="30"/>
        </w:rPr>
        <w:t>日出生，汉族，住江苏省盐城市大丰区万盈镇天池居委会五组</w:t>
      </w:r>
      <w:r>
        <w:rPr>
          <w:rFonts w:hint="eastAsia"/>
          <w:sz w:val="30"/>
          <w:szCs w:val="30"/>
        </w:rPr>
        <w:t>41</w:t>
      </w:r>
      <w:r>
        <w:rPr>
          <w:rFonts w:hint="eastAsia"/>
          <w:sz w:val="30"/>
          <w:szCs w:val="30"/>
        </w:rPr>
        <w:t>号。</w:t>
      </w:r>
    </w:p>
    <w:p w:rsidR="00000000" w:rsidRDefault="0019297B">
      <w:pPr>
        <w:spacing w:line="500" w:lineRule="atLeast"/>
        <w:ind w:firstLine="600"/>
        <w:divId w:val="318772940"/>
        <w:rPr>
          <w:rFonts w:hint="eastAsia"/>
          <w:sz w:val="30"/>
          <w:szCs w:val="30"/>
        </w:rPr>
      </w:pPr>
      <w:r>
        <w:rPr>
          <w:rFonts w:hint="eastAsia"/>
          <w:sz w:val="30"/>
          <w:szCs w:val="30"/>
        </w:rPr>
        <w:t>被申请人（一审被告、二审被上诉人）：江阴市人民医院，住所地江苏省江阴市寿山路</w:t>
      </w:r>
      <w:r>
        <w:rPr>
          <w:rFonts w:hint="eastAsia"/>
          <w:sz w:val="30"/>
          <w:szCs w:val="30"/>
        </w:rPr>
        <w:t>163</w:t>
      </w:r>
      <w:r>
        <w:rPr>
          <w:rFonts w:hint="eastAsia"/>
          <w:sz w:val="30"/>
          <w:szCs w:val="30"/>
        </w:rPr>
        <w:t>号。</w:t>
      </w:r>
    </w:p>
    <w:p w:rsidR="00000000" w:rsidRDefault="0019297B">
      <w:pPr>
        <w:spacing w:line="500" w:lineRule="atLeast"/>
        <w:ind w:firstLine="600"/>
        <w:divId w:val="471102113"/>
        <w:rPr>
          <w:rFonts w:hint="eastAsia"/>
          <w:sz w:val="30"/>
          <w:szCs w:val="30"/>
        </w:rPr>
      </w:pPr>
      <w:r>
        <w:rPr>
          <w:rFonts w:hint="eastAsia"/>
          <w:sz w:val="30"/>
          <w:szCs w:val="30"/>
        </w:rPr>
        <w:t>法定代表人：高恒，该院院长。</w:t>
      </w:r>
    </w:p>
    <w:p w:rsidR="00000000" w:rsidRDefault="0019297B">
      <w:pPr>
        <w:spacing w:line="500" w:lineRule="atLeast"/>
        <w:ind w:firstLine="600"/>
        <w:divId w:val="911113780"/>
        <w:rPr>
          <w:rFonts w:hint="eastAsia"/>
          <w:sz w:val="30"/>
          <w:szCs w:val="30"/>
        </w:rPr>
      </w:pPr>
      <w:r>
        <w:rPr>
          <w:rFonts w:hint="eastAsia"/>
          <w:sz w:val="30"/>
          <w:szCs w:val="30"/>
        </w:rPr>
        <w:t>再审申请人姚邦明因与被申请人江阴市人民医院医疗损害责任纠纷一案，不服江苏省无锡市中级人民法院（</w:t>
      </w:r>
      <w:r>
        <w:rPr>
          <w:rFonts w:hint="eastAsia"/>
          <w:sz w:val="30"/>
          <w:szCs w:val="30"/>
        </w:rPr>
        <w:t>2019</w:t>
      </w:r>
      <w:r>
        <w:rPr>
          <w:rFonts w:hint="eastAsia"/>
          <w:sz w:val="30"/>
          <w:szCs w:val="30"/>
        </w:rPr>
        <w:t>）苏</w:t>
      </w:r>
      <w:r>
        <w:rPr>
          <w:rFonts w:hint="eastAsia"/>
          <w:sz w:val="30"/>
          <w:szCs w:val="30"/>
        </w:rPr>
        <w:t>02</w:t>
      </w:r>
      <w:r>
        <w:rPr>
          <w:rFonts w:hint="eastAsia"/>
          <w:sz w:val="30"/>
          <w:szCs w:val="30"/>
        </w:rPr>
        <w:t>民终</w:t>
      </w:r>
      <w:r>
        <w:rPr>
          <w:rFonts w:hint="eastAsia"/>
          <w:sz w:val="30"/>
          <w:szCs w:val="30"/>
        </w:rPr>
        <w:t>799</w:t>
      </w:r>
      <w:r>
        <w:rPr>
          <w:rFonts w:hint="eastAsia"/>
          <w:sz w:val="30"/>
          <w:szCs w:val="30"/>
        </w:rPr>
        <w:t>号民事判决，向本院申请再审。本院依法组成合议庭进行了审查，现已审查终结。</w:t>
      </w:r>
    </w:p>
    <w:p w:rsidR="00000000" w:rsidRDefault="0019297B">
      <w:pPr>
        <w:spacing w:line="500" w:lineRule="atLeast"/>
        <w:ind w:firstLine="600"/>
        <w:divId w:val="868949585"/>
        <w:rPr>
          <w:rFonts w:hint="eastAsia"/>
          <w:sz w:val="30"/>
          <w:szCs w:val="30"/>
        </w:rPr>
      </w:pPr>
      <w:r>
        <w:rPr>
          <w:rFonts w:hint="eastAsia"/>
          <w:sz w:val="30"/>
          <w:szCs w:val="30"/>
        </w:rPr>
        <w:t>姚邦明申请再审称，（一）地塞米松正常用量是</w:t>
      </w:r>
      <w:r>
        <w:rPr>
          <w:rFonts w:hint="eastAsia"/>
          <w:sz w:val="30"/>
          <w:szCs w:val="30"/>
        </w:rPr>
        <w:t>200</w:t>
      </w:r>
      <w:r>
        <w:rPr>
          <w:rFonts w:hint="eastAsia"/>
          <w:sz w:val="30"/>
          <w:szCs w:val="30"/>
        </w:rPr>
        <w:t>㎎</w:t>
      </w:r>
      <w:r>
        <w:rPr>
          <w:rFonts w:hint="eastAsia"/>
          <w:sz w:val="30"/>
          <w:szCs w:val="30"/>
        </w:rPr>
        <w:t>/</w:t>
      </w:r>
      <w:r>
        <w:rPr>
          <w:rFonts w:hint="eastAsia"/>
          <w:sz w:val="30"/>
          <w:szCs w:val="30"/>
        </w:rPr>
        <w:t>天，而江阴市人民医院对姚邦明的用量是</w:t>
      </w:r>
      <w:r>
        <w:rPr>
          <w:rFonts w:hint="eastAsia"/>
          <w:sz w:val="30"/>
          <w:szCs w:val="30"/>
        </w:rPr>
        <w:t>390</w:t>
      </w:r>
      <w:r>
        <w:rPr>
          <w:rFonts w:hint="eastAsia"/>
          <w:sz w:val="30"/>
          <w:szCs w:val="30"/>
        </w:rPr>
        <w:t>㎎</w:t>
      </w:r>
      <w:r>
        <w:rPr>
          <w:rFonts w:hint="eastAsia"/>
          <w:sz w:val="30"/>
          <w:szCs w:val="30"/>
        </w:rPr>
        <w:t>/</w:t>
      </w:r>
      <w:r>
        <w:rPr>
          <w:rFonts w:hint="eastAsia"/>
          <w:sz w:val="30"/>
          <w:szCs w:val="30"/>
        </w:rPr>
        <w:t>小时，一、二审判决认定属于小剂量使用不符合事实。（二）原南京军区总医院认为姚邦明的损害是使用激素所致，无锡医鉴</w:t>
      </w:r>
      <w:r>
        <w:rPr>
          <w:rFonts w:hint="eastAsia"/>
          <w:sz w:val="30"/>
          <w:szCs w:val="30"/>
        </w:rPr>
        <w:t>[2016]5</w:t>
      </w:r>
      <w:r>
        <w:rPr>
          <w:rFonts w:hint="eastAsia"/>
          <w:sz w:val="30"/>
          <w:szCs w:val="30"/>
        </w:rPr>
        <w:t>号《医疗事故鉴定书》分析意见也认为“患者使用激素后近一年出现双侧股骨头坏死，考虑与其激素敏感体质</w:t>
      </w:r>
      <w:r>
        <w:rPr>
          <w:rFonts w:hint="eastAsia"/>
          <w:sz w:val="30"/>
          <w:szCs w:val="30"/>
        </w:rPr>
        <w:t>有关”。说明姚邦明的损害后果与江阴市人民医院使用激素有关，一、二审判决认为姚邦明的损害和江阴市人民医院的诊疗行为没有因果关系错误。（三）江阴市人民医院对姚邦明使用地塞米松就是违反诊疗规定的重大过错。《糖皮质激素类药物临床应用指导原则》规定尽量避免使用糖皮质激素的情况包括骨折和创伤修复期，而姚邦明去江阴市人民医院就医就是因为骨折和创伤，江阴市人民医院对姚邦明施以超常剂量地塞米松，事后也未按照《糖皮质激素类药物临床应用指导原则》要求检测糖皮质激素</w:t>
      </w:r>
      <w:r>
        <w:rPr>
          <w:rFonts w:hint="eastAsia"/>
          <w:sz w:val="30"/>
          <w:szCs w:val="30"/>
        </w:rPr>
        <w:lastRenderedPageBreak/>
        <w:t>的不良反应，是严重违反诊疗规定的重大错误。（四）苏州大学司法鉴定中</w:t>
      </w:r>
      <w:r>
        <w:rPr>
          <w:rFonts w:hint="eastAsia"/>
          <w:sz w:val="30"/>
          <w:szCs w:val="30"/>
        </w:rPr>
        <w:t>心的鉴定报告断章取义，为江阴市人民医院掩饰错误，违反公正原则，一、二审判决应不予采纳。综上，姚邦明依据《中华人民共和国民事诉讼法》第二百条第二项、第六项的规定申请再审。</w:t>
      </w:r>
    </w:p>
    <w:p w:rsidR="00000000" w:rsidRDefault="0019297B">
      <w:pPr>
        <w:spacing w:line="500" w:lineRule="atLeast"/>
        <w:ind w:firstLine="600"/>
        <w:divId w:val="125895144"/>
        <w:rPr>
          <w:rFonts w:hint="eastAsia"/>
          <w:sz w:val="30"/>
          <w:szCs w:val="30"/>
        </w:rPr>
      </w:pPr>
      <w:r>
        <w:rPr>
          <w:rFonts w:hint="eastAsia"/>
          <w:sz w:val="30"/>
          <w:szCs w:val="30"/>
        </w:rPr>
        <w:t>本院经审查认为，（一）据江阴市人民医院长期医嘱单记载，该院对姚邦明就诊期间地塞米松磷酸钠注射液的使用情况为</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6</w:t>
      </w:r>
      <w:r>
        <w:rPr>
          <w:rFonts w:hint="eastAsia"/>
          <w:sz w:val="30"/>
          <w:szCs w:val="30"/>
        </w:rPr>
        <w:t>日</w:t>
      </w:r>
      <w:r>
        <w:rPr>
          <w:rFonts w:hint="eastAsia"/>
          <w:sz w:val="30"/>
          <w:szCs w:val="30"/>
        </w:rPr>
        <w:t>21:32</w:t>
      </w:r>
      <w:r>
        <w:rPr>
          <w:rFonts w:hint="eastAsia"/>
          <w:sz w:val="30"/>
          <w:szCs w:val="30"/>
        </w:rPr>
        <w:t>至</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8</w:t>
      </w:r>
      <w:r>
        <w:rPr>
          <w:rFonts w:hint="eastAsia"/>
          <w:sz w:val="30"/>
          <w:szCs w:val="30"/>
        </w:rPr>
        <w:t>日</w:t>
      </w:r>
      <w:r>
        <w:rPr>
          <w:rFonts w:hint="eastAsia"/>
          <w:sz w:val="30"/>
          <w:szCs w:val="30"/>
        </w:rPr>
        <w:t>8:25</w:t>
      </w:r>
      <w:r>
        <w:rPr>
          <w:rFonts w:hint="eastAsia"/>
          <w:sz w:val="30"/>
          <w:szCs w:val="30"/>
        </w:rPr>
        <w:t>每</w:t>
      </w:r>
      <w:r>
        <w:rPr>
          <w:rFonts w:hint="eastAsia"/>
          <w:sz w:val="30"/>
          <w:szCs w:val="30"/>
        </w:rPr>
        <w:t>8</w:t>
      </w:r>
      <w:r>
        <w:rPr>
          <w:rFonts w:hint="eastAsia"/>
          <w:sz w:val="30"/>
          <w:szCs w:val="30"/>
        </w:rPr>
        <w:t>小时静推</w:t>
      </w:r>
      <w:r>
        <w:rPr>
          <w:rFonts w:hint="eastAsia"/>
          <w:sz w:val="30"/>
          <w:szCs w:val="30"/>
        </w:rPr>
        <w:t>5</w:t>
      </w:r>
      <w:r>
        <w:rPr>
          <w:rFonts w:hint="eastAsia"/>
          <w:sz w:val="30"/>
          <w:szCs w:val="30"/>
        </w:rPr>
        <w:t>㎎，</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w:t>
      </w:r>
      <w:r>
        <w:rPr>
          <w:rFonts w:hint="eastAsia"/>
          <w:sz w:val="30"/>
          <w:szCs w:val="30"/>
        </w:rPr>
        <w:t>11:56</w:t>
      </w:r>
      <w:r>
        <w:rPr>
          <w:rFonts w:hint="eastAsia"/>
          <w:sz w:val="30"/>
          <w:szCs w:val="30"/>
        </w:rPr>
        <w:t>至</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13</w:t>
      </w:r>
      <w:r>
        <w:rPr>
          <w:rFonts w:hint="eastAsia"/>
          <w:sz w:val="30"/>
          <w:szCs w:val="30"/>
        </w:rPr>
        <w:t>日</w:t>
      </w:r>
      <w:r>
        <w:rPr>
          <w:rFonts w:hint="eastAsia"/>
          <w:sz w:val="30"/>
          <w:szCs w:val="30"/>
        </w:rPr>
        <w:t>8:39</w:t>
      </w:r>
      <w:r>
        <w:rPr>
          <w:rFonts w:hint="eastAsia"/>
          <w:sz w:val="30"/>
          <w:szCs w:val="30"/>
        </w:rPr>
        <w:t>每</w:t>
      </w:r>
      <w:r>
        <w:rPr>
          <w:rFonts w:hint="eastAsia"/>
          <w:sz w:val="30"/>
          <w:szCs w:val="30"/>
        </w:rPr>
        <w:t>8</w:t>
      </w:r>
      <w:r>
        <w:rPr>
          <w:rFonts w:hint="eastAsia"/>
          <w:sz w:val="30"/>
          <w:szCs w:val="30"/>
        </w:rPr>
        <w:t>小时静推</w:t>
      </w:r>
      <w:r>
        <w:rPr>
          <w:rFonts w:hint="eastAsia"/>
          <w:sz w:val="30"/>
          <w:szCs w:val="30"/>
        </w:rPr>
        <w:t>10</w:t>
      </w:r>
      <w:r>
        <w:rPr>
          <w:rFonts w:hint="eastAsia"/>
          <w:sz w:val="30"/>
          <w:szCs w:val="30"/>
        </w:rPr>
        <w:t>㎎，姚邦明在一审质证时也表示对该事实没有异议。姚邦明现主张江阴市人民医院对其地塞米松的用</w:t>
      </w:r>
      <w:r>
        <w:rPr>
          <w:rFonts w:hint="eastAsia"/>
          <w:sz w:val="30"/>
          <w:szCs w:val="30"/>
        </w:rPr>
        <w:t>量是</w:t>
      </w:r>
      <w:r>
        <w:rPr>
          <w:rFonts w:hint="eastAsia"/>
          <w:sz w:val="30"/>
          <w:szCs w:val="30"/>
        </w:rPr>
        <w:t>390</w:t>
      </w:r>
      <w:r>
        <w:rPr>
          <w:rFonts w:hint="eastAsia"/>
          <w:sz w:val="30"/>
          <w:szCs w:val="30"/>
        </w:rPr>
        <w:t>㎎</w:t>
      </w:r>
      <w:r>
        <w:rPr>
          <w:rFonts w:hint="eastAsia"/>
          <w:sz w:val="30"/>
          <w:szCs w:val="30"/>
        </w:rPr>
        <w:t>/</w:t>
      </w:r>
      <w:r>
        <w:rPr>
          <w:rFonts w:hint="eastAsia"/>
          <w:sz w:val="30"/>
          <w:szCs w:val="30"/>
        </w:rPr>
        <w:t>小时，超过</w:t>
      </w:r>
      <w:r>
        <w:rPr>
          <w:rFonts w:hint="eastAsia"/>
          <w:sz w:val="30"/>
          <w:szCs w:val="30"/>
        </w:rPr>
        <w:t>200</w:t>
      </w:r>
      <w:r>
        <w:rPr>
          <w:rFonts w:hint="eastAsia"/>
          <w:sz w:val="30"/>
          <w:szCs w:val="30"/>
        </w:rPr>
        <w:t>㎎</w:t>
      </w:r>
      <w:r>
        <w:rPr>
          <w:rFonts w:hint="eastAsia"/>
          <w:sz w:val="30"/>
          <w:szCs w:val="30"/>
        </w:rPr>
        <w:t>/</w:t>
      </w:r>
      <w:r>
        <w:rPr>
          <w:rFonts w:hint="eastAsia"/>
          <w:sz w:val="30"/>
          <w:szCs w:val="30"/>
        </w:rPr>
        <w:t>天的正常用量，不符合小剂量使用的情形，没有事实依据。</w:t>
      </w:r>
    </w:p>
    <w:p w:rsidR="00000000" w:rsidRDefault="0019297B">
      <w:pPr>
        <w:spacing w:line="500" w:lineRule="atLeast"/>
        <w:ind w:firstLine="600"/>
        <w:divId w:val="452676132"/>
        <w:rPr>
          <w:rFonts w:hint="eastAsia"/>
          <w:sz w:val="30"/>
          <w:szCs w:val="30"/>
        </w:rPr>
      </w:pPr>
      <w:r>
        <w:rPr>
          <w:rFonts w:hint="eastAsia"/>
          <w:sz w:val="30"/>
          <w:szCs w:val="30"/>
        </w:rPr>
        <w:t>（二）经姚邦明申请，一审法院委托苏州大学司法鉴定中心进行司法鉴定。该中心鉴定意见为江阴市人民医院在对姚邦明的诊疗过程中诊断明确，治疗符合医疗常规，诊疗行为与患者目前损害后果之间无因果关系。且据该中心出具的司法鉴定意见书和于</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19</w:t>
      </w:r>
      <w:r>
        <w:rPr>
          <w:rFonts w:hint="eastAsia"/>
          <w:sz w:val="30"/>
          <w:szCs w:val="30"/>
        </w:rPr>
        <w:t>日出具的《说明》分析认为，姚邦明左前臂损伤严重，入院时及手术后患肢均有严重肿胀，为防治骨筋膜室综合征及</w:t>
      </w:r>
      <w:r>
        <w:rPr>
          <w:rFonts w:hint="eastAsia"/>
          <w:sz w:val="30"/>
          <w:szCs w:val="30"/>
        </w:rPr>
        <w:t>Volkman</w:t>
      </w:r>
      <w:r>
        <w:rPr>
          <w:rFonts w:hint="eastAsia"/>
          <w:sz w:val="30"/>
          <w:szCs w:val="30"/>
        </w:rPr>
        <w:t>肌挛缩，医方予以现有疗程和剂量的地塞米松磷酸钠注射液静推治疗。此治疗</w:t>
      </w:r>
      <w:r>
        <w:rPr>
          <w:rFonts w:hint="eastAsia"/>
          <w:sz w:val="30"/>
          <w:szCs w:val="30"/>
        </w:rPr>
        <w:t>方案属于小剂量短程治疗，可消除患肢组织水肿，减轻肿胀，降低组织压力，医方治疗符合医疗常规。且根据卫生部《糖皮质激素类药物临床应用指导原则》相关规定，未有对小剂量、短程激素治疗需行告知并签署知情同意书等相关规定。姚邦明现出现“双侧股骨头坏死”的损害后果，考虑与姚邦明激素敏感体质有关。据此，江阴市人民医院对姚邦明行小剂量短程地塞米松磷酸钠注</w:t>
      </w:r>
      <w:r>
        <w:rPr>
          <w:rFonts w:hint="eastAsia"/>
          <w:sz w:val="30"/>
          <w:szCs w:val="30"/>
        </w:rPr>
        <w:lastRenderedPageBreak/>
        <w:t>射液静推治疗符合诊疗规范，姚邦明现有损害后果考虑与其自身激素敏感体质有关，江阴市人民医院的诊疗行为与姚邦明的损害后果之间并无法律上的因果关系。苏州大学司法鉴定中心的鉴定意见程</w:t>
      </w:r>
      <w:r>
        <w:rPr>
          <w:rFonts w:hint="eastAsia"/>
          <w:sz w:val="30"/>
          <w:szCs w:val="30"/>
        </w:rPr>
        <w:t>序合法，依据充分，姚邦明也未能提供足以反驳的相反证据和理由，故一、二审判决认定该鉴定意见的证明力并无不当。</w:t>
      </w:r>
    </w:p>
    <w:p w:rsidR="00000000" w:rsidRDefault="0019297B">
      <w:pPr>
        <w:spacing w:line="500" w:lineRule="atLeast"/>
        <w:ind w:firstLine="600"/>
        <w:divId w:val="1389113157"/>
        <w:rPr>
          <w:rFonts w:hint="eastAsia"/>
          <w:sz w:val="30"/>
          <w:szCs w:val="30"/>
        </w:rPr>
      </w:pPr>
      <w:r>
        <w:rPr>
          <w:rFonts w:hint="eastAsia"/>
          <w:sz w:val="30"/>
          <w:szCs w:val="30"/>
        </w:rPr>
        <w:t>综上，姚邦明的再审申请不符合《中华人民共和国民事诉讼法》第二百条第二项、第六项规定的情形。依照《中华人民共和国民事诉讼法》第二百零四条第一款、《最高人民法院关于适用〈中华人民共和国民事诉讼法〉的解释》（</w:t>
      </w:r>
      <w:r>
        <w:rPr>
          <w:rFonts w:hint="eastAsia"/>
          <w:sz w:val="30"/>
          <w:szCs w:val="30"/>
        </w:rPr>
        <w:t>2020</w:t>
      </w:r>
      <w:r>
        <w:rPr>
          <w:rFonts w:hint="eastAsia"/>
          <w:sz w:val="30"/>
          <w:szCs w:val="30"/>
        </w:rPr>
        <w:t>年修正）第三百九十五条第二款规定，裁定如下：</w:t>
      </w:r>
    </w:p>
    <w:p w:rsidR="00000000" w:rsidRDefault="0019297B">
      <w:pPr>
        <w:spacing w:line="500" w:lineRule="atLeast"/>
        <w:ind w:firstLine="600"/>
        <w:divId w:val="2246444"/>
        <w:rPr>
          <w:rFonts w:hint="eastAsia"/>
          <w:sz w:val="30"/>
          <w:szCs w:val="30"/>
        </w:rPr>
      </w:pPr>
      <w:r>
        <w:rPr>
          <w:rFonts w:hint="eastAsia"/>
          <w:sz w:val="30"/>
          <w:szCs w:val="30"/>
        </w:rPr>
        <w:t>驳回姚邦明的再审申请。</w:t>
      </w:r>
    </w:p>
    <w:p w:rsidR="00000000" w:rsidRDefault="0019297B">
      <w:pPr>
        <w:spacing w:line="500" w:lineRule="atLeast"/>
        <w:jc w:val="right"/>
        <w:divId w:val="27149488"/>
        <w:rPr>
          <w:rFonts w:hint="eastAsia"/>
          <w:sz w:val="30"/>
          <w:szCs w:val="30"/>
        </w:rPr>
      </w:pPr>
      <w:r>
        <w:rPr>
          <w:rFonts w:hint="eastAsia"/>
          <w:sz w:val="30"/>
          <w:szCs w:val="30"/>
        </w:rPr>
        <w:t>审判长　　葛晓明</w:t>
      </w:r>
    </w:p>
    <w:p w:rsidR="00000000" w:rsidRDefault="0019297B">
      <w:pPr>
        <w:spacing w:line="500" w:lineRule="atLeast"/>
        <w:jc w:val="right"/>
        <w:divId w:val="965889276"/>
        <w:rPr>
          <w:rFonts w:hint="eastAsia"/>
          <w:sz w:val="30"/>
          <w:szCs w:val="30"/>
        </w:rPr>
      </w:pPr>
      <w:r>
        <w:rPr>
          <w:rFonts w:hint="eastAsia"/>
          <w:sz w:val="30"/>
          <w:szCs w:val="30"/>
        </w:rPr>
        <w:t>审判员　　杨　雷</w:t>
      </w:r>
    </w:p>
    <w:p w:rsidR="00000000" w:rsidRDefault="0019297B">
      <w:pPr>
        <w:spacing w:line="500" w:lineRule="atLeast"/>
        <w:jc w:val="right"/>
        <w:divId w:val="26033762"/>
        <w:rPr>
          <w:rFonts w:hint="eastAsia"/>
          <w:sz w:val="30"/>
          <w:szCs w:val="30"/>
        </w:rPr>
      </w:pPr>
      <w:r>
        <w:rPr>
          <w:rFonts w:hint="eastAsia"/>
          <w:sz w:val="30"/>
          <w:szCs w:val="30"/>
        </w:rPr>
        <w:t>审判员　　蒋　蕾</w:t>
      </w:r>
    </w:p>
    <w:p w:rsidR="00000000" w:rsidRDefault="0019297B">
      <w:pPr>
        <w:spacing w:line="500" w:lineRule="atLeast"/>
        <w:jc w:val="right"/>
        <w:divId w:val="1543976434"/>
        <w:rPr>
          <w:rFonts w:hint="eastAsia"/>
          <w:sz w:val="30"/>
          <w:szCs w:val="30"/>
        </w:rPr>
      </w:pPr>
      <w:r>
        <w:rPr>
          <w:rFonts w:hint="eastAsia"/>
          <w:sz w:val="30"/>
          <w:szCs w:val="30"/>
        </w:rPr>
        <w:t>二〇二一年六月二十九日</w:t>
      </w:r>
    </w:p>
    <w:p w:rsidR="00000000" w:rsidRDefault="0019297B">
      <w:pPr>
        <w:spacing w:line="500" w:lineRule="atLeast"/>
        <w:jc w:val="right"/>
        <w:divId w:val="786433407"/>
        <w:rPr>
          <w:rFonts w:hint="eastAsia"/>
          <w:sz w:val="30"/>
          <w:szCs w:val="30"/>
        </w:rPr>
      </w:pPr>
      <w:r>
        <w:rPr>
          <w:rFonts w:hint="eastAsia"/>
          <w:sz w:val="30"/>
          <w:szCs w:val="30"/>
        </w:rPr>
        <w:t>书记员　　朱亚萍</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297B" w:rsidRDefault="0019297B" w:rsidP="0019297B">
      <w:r>
        <w:separator/>
      </w:r>
    </w:p>
  </w:endnote>
  <w:endnote w:type="continuationSeparator" w:id="0">
    <w:p w:rsidR="0019297B" w:rsidRDefault="0019297B" w:rsidP="0019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297B" w:rsidRDefault="0019297B" w:rsidP="0019297B">
      <w:r>
        <w:separator/>
      </w:r>
    </w:p>
  </w:footnote>
  <w:footnote w:type="continuationSeparator" w:id="0">
    <w:p w:rsidR="0019297B" w:rsidRDefault="0019297B" w:rsidP="001929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9297B"/>
    <w:rsid w:val="00192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1929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297B"/>
    <w:rPr>
      <w:rFonts w:ascii="宋体" w:eastAsia="宋体" w:hAnsi="宋体" w:cs="宋体"/>
      <w:sz w:val="18"/>
      <w:szCs w:val="18"/>
    </w:rPr>
  </w:style>
  <w:style w:type="paragraph" w:styleId="a5">
    <w:name w:val="footer"/>
    <w:basedOn w:val="a"/>
    <w:link w:val="a6"/>
    <w:uiPriority w:val="99"/>
    <w:unhideWhenUsed/>
    <w:rsid w:val="0019297B"/>
    <w:pPr>
      <w:tabs>
        <w:tab w:val="center" w:pos="4153"/>
        <w:tab w:val="right" w:pos="8306"/>
      </w:tabs>
      <w:snapToGrid w:val="0"/>
    </w:pPr>
    <w:rPr>
      <w:sz w:val="18"/>
      <w:szCs w:val="18"/>
    </w:rPr>
  </w:style>
  <w:style w:type="character" w:customStyle="1" w:styleId="a6">
    <w:name w:val="页脚 字符"/>
    <w:basedOn w:val="a0"/>
    <w:link w:val="a5"/>
    <w:uiPriority w:val="99"/>
    <w:rsid w:val="0019297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6444">
      <w:marLeft w:val="0"/>
      <w:marRight w:val="0"/>
      <w:marTop w:val="10"/>
      <w:marBottom w:val="10"/>
      <w:divBdr>
        <w:top w:val="none" w:sz="0" w:space="0" w:color="auto"/>
        <w:left w:val="none" w:sz="0" w:space="0" w:color="auto"/>
        <w:bottom w:val="none" w:sz="0" w:space="0" w:color="auto"/>
        <w:right w:val="none" w:sz="0" w:space="0" w:color="auto"/>
      </w:divBdr>
    </w:div>
    <w:div w:id="26033762">
      <w:marLeft w:val="0"/>
      <w:marRight w:val="720"/>
      <w:marTop w:val="10"/>
      <w:marBottom w:val="10"/>
      <w:divBdr>
        <w:top w:val="none" w:sz="0" w:space="0" w:color="auto"/>
        <w:left w:val="none" w:sz="0" w:space="0" w:color="auto"/>
        <w:bottom w:val="none" w:sz="0" w:space="0" w:color="auto"/>
        <w:right w:val="none" w:sz="0" w:space="0" w:color="auto"/>
      </w:divBdr>
    </w:div>
    <w:div w:id="27149488">
      <w:marLeft w:val="0"/>
      <w:marRight w:val="720"/>
      <w:marTop w:val="10"/>
      <w:marBottom w:val="10"/>
      <w:divBdr>
        <w:top w:val="none" w:sz="0" w:space="0" w:color="auto"/>
        <w:left w:val="none" w:sz="0" w:space="0" w:color="auto"/>
        <w:bottom w:val="none" w:sz="0" w:space="0" w:color="auto"/>
        <w:right w:val="none" w:sz="0" w:space="0" w:color="auto"/>
      </w:divBdr>
    </w:div>
    <w:div w:id="125895144">
      <w:marLeft w:val="0"/>
      <w:marRight w:val="0"/>
      <w:marTop w:val="10"/>
      <w:marBottom w:val="10"/>
      <w:divBdr>
        <w:top w:val="none" w:sz="0" w:space="0" w:color="auto"/>
        <w:left w:val="none" w:sz="0" w:space="0" w:color="auto"/>
        <w:bottom w:val="none" w:sz="0" w:space="0" w:color="auto"/>
        <w:right w:val="none" w:sz="0" w:space="0" w:color="auto"/>
      </w:divBdr>
    </w:div>
    <w:div w:id="318772940">
      <w:marLeft w:val="0"/>
      <w:marRight w:val="0"/>
      <w:marTop w:val="10"/>
      <w:marBottom w:val="10"/>
      <w:divBdr>
        <w:top w:val="none" w:sz="0" w:space="0" w:color="auto"/>
        <w:left w:val="none" w:sz="0" w:space="0" w:color="auto"/>
        <w:bottom w:val="none" w:sz="0" w:space="0" w:color="auto"/>
        <w:right w:val="none" w:sz="0" w:space="0" w:color="auto"/>
      </w:divBdr>
    </w:div>
    <w:div w:id="452676132">
      <w:marLeft w:val="0"/>
      <w:marRight w:val="0"/>
      <w:marTop w:val="10"/>
      <w:marBottom w:val="10"/>
      <w:divBdr>
        <w:top w:val="none" w:sz="0" w:space="0" w:color="auto"/>
        <w:left w:val="none" w:sz="0" w:space="0" w:color="auto"/>
        <w:bottom w:val="none" w:sz="0" w:space="0" w:color="auto"/>
        <w:right w:val="none" w:sz="0" w:space="0" w:color="auto"/>
      </w:divBdr>
    </w:div>
    <w:div w:id="471102113">
      <w:marLeft w:val="0"/>
      <w:marRight w:val="0"/>
      <w:marTop w:val="10"/>
      <w:marBottom w:val="10"/>
      <w:divBdr>
        <w:top w:val="none" w:sz="0" w:space="0" w:color="auto"/>
        <w:left w:val="none" w:sz="0" w:space="0" w:color="auto"/>
        <w:bottom w:val="none" w:sz="0" w:space="0" w:color="auto"/>
        <w:right w:val="none" w:sz="0" w:space="0" w:color="auto"/>
      </w:divBdr>
    </w:div>
    <w:div w:id="493763768">
      <w:marLeft w:val="0"/>
      <w:marRight w:val="0"/>
      <w:marTop w:val="10"/>
      <w:marBottom w:val="10"/>
      <w:divBdr>
        <w:top w:val="none" w:sz="0" w:space="0" w:color="auto"/>
        <w:left w:val="none" w:sz="0" w:space="0" w:color="auto"/>
        <w:bottom w:val="none" w:sz="0" w:space="0" w:color="auto"/>
        <w:right w:val="none" w:sz="0" w:space="0" w:color="auto"/>
      </w:divBdr>
    </w:div>
    <w:div w:id="786433407">
      <w:marLeft w:val="0"/>
      <w:marRight w:val="720"/>
      <w:marTop w:val="10"/>
      <w:marBottom w:val="10"/>
      <w:divBdr>
        <w:top w:val="none" w:sz="0" w:space="0" w:color="auto"/>
        <w:left w:val="none" w:sz="0" w:space="0" w:color="auto"/>
        <w:bottom w:val="none" w:sz="0" w:space="0" w:color="auto"/>
        <w:right w:val="none" w:sz="0" w:space="0" w:color="auto"/>
      </w:divBdr>
    </w:div>
    <w:div w:id="868949585">
      <w:marLeft w:val="0"/>
      <w:marRight w:val="0"/>
      <w:marTop w:val="10"/>
      <w:marBottom w:val="10"/>
      <w:divBdr>
        <w:top w:val="none" w:sz="0" w:space="0" w:color="auto"/>
        <w:left w:val="none" w:sz="0" w:space="0" w:color="auto"/>
        <w:bottom w:val="none" w:sz="0" w:space="0" w:color="auto"/>
        <w:right w:val="none" w:sz="0" w:space="0" w:color="auto"/>
      </w:divBdr>
    </w:div>
    <w:div w:id="911113780">
      <w:marLeft w:val="0"/>
      <w:marRight w:val="0"/>
      <w:marTop w:val="10"/>
      <w:marBottom w:val="10"/>
      <w:divBdr>
        <w:top w:val="none" w:sz="0" w:space="0" w:color="auto"/>
        <w:left w:val="none" w:sz="0" w:space="0" w:color="auto"/>
        <w:bottom w:val="none" w:sz="0" w:space="0" w:color="auto"/>
        <w:right w:val="none" w:sz="0" w:space="0" w:color="auto"/>
      </w:divBdr>
    </w:div>
    <w:div w:id="965889276">
      <w:marLeft w:val="0"/>
      <w:marRight w:val="720"/>
      <w:marTop w:val="10"/>
      <w:marBottom w:val="10"/>
      <w:divBdr>
        <w:top w:val="none" w:sz="0" w:space="0" w:color="auto"/>
        <w:left w:val="none" w:sz="0" w:space="0" w:color="auto"/>
        <w:bottom w:val="none" w:sz="0" w:space="0" w:color="auto"/>
        <w:right w:val="none" w:sz="0" w:space="0" w:color="auto"/>
      </w:divBdr>
    </w:div>
    <w:div w:id="1040476947">
      <w:marLeft w:val="0"/>
      <w:marRight w:val="0"/>
      <w:marTop w:val="10"/>
      <w:marBottom w:val="10"/>
      <w:divBdr>
        <w:top w:val="none" w:sz="0" w:space="0" w:color="auto"/>
        <w:left w:val="none" w:sz="0" w:space="0" w:color="auto"/>
        <w:bottom w:val="none" w:sz="0" w:space="0" w:color="auto"/>
        <w:right w:val="none" w:sz="0" w:space="0" w:color="auto"/>
      </w:divBdr>
    </w:div>
    <w:div w:id="1389113157">
      <w:marLeft w:val="0"/>
      <w:marRight w:val="0"/>
      <w:marTop w:val="10"/>
      <w:marBottom w:val="10"/>
      <w:divBdr>
        <w:top w:val="none" w:sz="0" w:space="0" w:color="auto"/>
        <w:left w:val="none" w:sz="0" w:space="0" w:color="auto"/>
        <w:bottom w:val="none" w:sz="0" w:space="0" w:color="auto"/>
        <w:right w:val="none" w:sz="0" w:space="0" w:color="auto"/>
      </w:divBdr>
    </w:div>
    <w:div w:id="1543976434">
      <w:marLeft w:val="0"/>
      <w:marRight w:val="720"/>
      <w:marTop w:val="10"/>
      <w:marBottom w:val="10"/>
      <w:divBdr>
        <w:top w:val="none" w:sz="0" w:space="0" w:color="auto"/>
        <w:left w:val="none" w:sz="0" w:space="0" w:color="auto"/>
        <w:bottom w:val="none" w:sz="0" w:space="0" w:color="auto"/>
        <w:right w:val="none" w:sz="0" w:space="0" w:color="auto"/>
      </w:divBdr>
    </w:div>
    <w:div w:id="1569076875">
      <w:marLeft w:val="0"/>
      <w:marRight w:val="0"/>
      <w:marTop w:val="10"/>
      <w:marBottom w:val="10"/>
      <w:divBdr>
        <w:top w:val="none" w:sz="0" w:space="0" w:color="auto"/>
        <w:left w:val="none" w:sz="0" w:space="0" w:color="auto"/>
        <w:bottom w:val="none" w:sz="0" w:space="0" w:color="auto"/>
        <w:right w:val="none" w:sz="0" w:space="0" w:color="auto"/>
      </w:divBdr>
    </w:div>
    <w:div w:id="207670811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