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B2C11">
      <w:pPr>
        <w:spacing w:line="500" w:lineRule="atLeast"/>
        <w:jc w:val="center"/>
        <w:divId w:val="1814448125"/>
        <w:rPr>
          <w:rFonts w:ascii="黑体" w:eastAsia="黑体" w:hAnsi="黑体"/>
          <w:sz w:val="36"/>
          <w:szCs w:val="36"/>
        </w:rPr>
      </w:pPr>
      <w:bookmarkStart w:id="0" w:name="_GoBack"/>
      <w:bookmarkEnd w:id="0"/>
      <w:r>
        <w:rPr>
          <w:rFonts w:ascii="黑体" w:eastAsia="黑体" w:hAnsi="黑体" w:hint="eastAsia"/>
          <w:sz w:val="36"/>
          <w:szCs w:val="36"/>
        </w:rPr>
        <w:t>辽宁省大连市中级人民法院</w:t>
      </w:r>
    </w:p>
    <w:p w:rsidR="00000000" w:rsidRDefault="003B2C11">
      <w:pPr>
        <w:spacing w:line="500" w:lineRule="atLeast"/>
        <w:jc w:val="center"/>
        <w:divId w:val="15279102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B2C11">
      <w:pPr>
        <w:spacing w:line="500" w:lineRule="atLeast"/>
        <w:jc w:val="right"/>
        <w:divId w:val="1774398299"/>
        <w:rPr>
          <w:rFonts w:hint="eastAsia"/>
          <w:sz w:val="30"/>
          <w:szCs w:val="30"/>
        </w:rPr>
      </w:pPr>
      <w:r>
        <w:rPr>
          <w:rFonts w:hint="eastAsia"/>
          <w:sz w:val="30"/>
          <w:szCs w:val="30"/>
        </w:rPr>
        <w:t>（</w:t>
      </w:r>
      <w:r>
        <w:rPr>
          <w:rFonts w:hint="eastAsia"/>
          <w:sz w:val="30"/>
          <w:szCs w:val="30"/>
        </w:rPr>
        <w:t>2023</w:t>
      </w:r>
      <w:r>
        <w:rPr>
          <w:rFonts w:hint="eastAsia"/>
          <w:sz w:val="30"/>
          <w:szCs w:val="30"/>
        </w:rPr>
        <w:t>）辽</w:t>
      </w:r>
      <w:r>
        <w:rPr>
          <w:rFonts w:hint="eastAsia"/>
          <w:sz w:val="30"/>
          <w:szCs w:val="30"/>
        </w:rPr>
        <w:t>02</w:t>
      </w:r>
      <w:r>
        <w:rPr>
          <w:rFonts w:hint="eastAsia"/>
          <w:sz w:val="30"/>
          <w:szCs w:val="30"/>
        </w:rPr>
        <w:t>民终</w:t>
      </w:r>
      <w:r>
        <w:rPr>
          <w:rFonts w:hint="eastAsia"/>
          <w:sz w:val="30"/>
          <w:szCs w:val="30"/>
        </w:rPr>
        <w:t>2292</w:t>
      </w:r>
      <w:r>
        <w:rPr>
          <w:rFonts w:hint="eastAsia"/>
          <w:sz w:val="30"/>
          <w:szCs w:val="30"/>
        </w:rPr>
        <w:t>号</w:t>
      </w:r>
    </w:p>
    <w:p w:rsidR="00000000" w:rsidRDefault="003B2C11">
      <w:pPr>
        <w:spacing w:line="500" w:lineRule="atLeast"/>
        <w:ind w:firstLine="600"/>
        <w:divId w:val="1618172781"/>
        <w:rPr>
          <w:rFonts w:hint="eastAsia"/>
          <w:sz w:val="30"/>
          <w:szCs w:val="30"/>
        </w:rPr>
      </w:pPr>
      <w:r>
        <w:rPr>
          <w:rFonts w:hint="eastAsia"/>
          <w:sz w:val="30"/>
          <w:szCs w:val="30"/>
        </w:rPr>
        <w:t>上诉人（原审原告）：孟丽青，女，</w:t>
      </w:r>
      <w:r>
        <w:rPr>
          <w:rFonts w:hint="eastAsia"/>
          <w:sz w:val="30"/>
          <w:szCs w:val="30"/>
        </w:rPr>
        <w:t>1970</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日生，汉族，住辽宁省大连市中山区。</w:t>
      </w:r>
    </w:p>
    <w:p w:rsidR="00000000" w:rsidRDefault="003B2C11">
      <w:pPr>
        <w:spacing w:line="500" w:lineRule="atLeast"/>
        <w:ind w:firstLine="600"/>
        <w:divId w:val="2135320517"/>
        <w:rPr>
          <w:rFonts w:hint="eastAsia"/>
          <w:sz w:val="30"/>
          <w:szCs w:val="30"/>
        </w:rPr>
      </w:pPr>
      <w:r>
        <w:rPr>
          <w:rFonts w:hint="eastAsia"/>
          <w:sz w:val="30"/>
          <w:szCs w:val="30"/>
        </w:rPr>
        <w:t>委托诉讼代理人：关亚茹，上海市建纬（大连）律师事务所律师。</w:t>
      </w:r>
    </w:p>
    <w:p w:rsidR="00000000" w:rsidRDefault="003B2C11">
      <w:pPr>
        <w:spacing w:line="500" w:lineRule="atLeast"/>
        <w:ind w:firstLine="600"/>
        <w:divId w:val="76368883"/>
        <w:rPr>
          <w:rFonts w:hint="eastAsia"/>
          <w:sz w:val="30"/>
          <w:szCs w:val="30"/>
        </w:rPr>
      </w:pPr>
      <w:r>
        <w:rPr>
          <w:rFonts w:hint="eastAsia"/>
          <w:sz w:val="30"/>
          <w:szCs w:val="30"/>
        </w:rPr>
        <w:t>被上诉人（原审被告）：欧姆龙（大连）有限公司，住所地辽宁省大连经济技术开发区松江路</w:t>
      </w:r>
      <w:r>
        <w:rPr>
          <w:rFonts w:hint="eastAsia"/>
          <w:sz w:val="30"/>
          <w:szCs w:val="30"/>
        </w:rPr>
        <w:t>3</w:t>
      </w:r>
      <w:r>
        <w:rPr>
          <w:rFonts w:hint="eastAsia"/>
          <w:sz w:val="30"/>
          <w:szCs w:val="30"/>
        </w:rPr>
        <w:t>号。</w:t>
      </w:r>
    </w:p>
    <w:p w:rsidR="00000000" w:rsidRDefault="003B2C11">
      <w:pPr>
        <w:spacing w:line="500" w:lineRule="atLeast"/>
        <w:ind w:firstLine="600"/>
        <w:divId w:val="948898517"/>
        <w:rPr>
          <w:rFonts w:hint="eastAsia"/>
          <w:sz w:val="30"/>
          <w:szCs w:val="30"/>
        </w:rPr>
      </w:pPr>
      <w:r>
        <w:rPr>
          <w:rFonts w:hint="eastAsia"/>
          <w:sz w:val="30"/>
          <w:szCs w:val="30"/>
        </w:rPr>
        <w:t>法定代表人：系永和延，董事长。</w:t>
      </w:r>
    </w:p>
    <w:p w:rsidR="00000000" w:rsidRDefault="003B2C11">
      <w:pPr>
        <w:spacing w:line="500" w:lineRule="atLeast"/>
        <w:ind w:firstLine="600"/>
        <w:divId w:val="616983795"/>
        <w:rPr>
          <w:rFonts w:hint="eastAsia"/>
          <w:sz w:val="30"/>
          <w:szCs w:val="30"/>
        </w:rPr>
      </w:pPr>
      <w:r>
        <w:rPr>
          <w:rFonts w:hint="eastAsia"/>
          <w:sz w:val="30"/>
          <w:szCs w:val="30"/>
        </w:rPr>
        <w:t>委托诉讼代理人：陈宁，辽宁昭明律师事务所律师。</w:t>
      </w:r>
    </w:p>
    <w:p w:rsidR="00000000" w:rsidRDefault="003B2C11">
      <w:pPr>
        <w:spacing w:line="500" w:lineRule="atLeast"/>
        <w:ind w:firstLine="600"/>
        <w:divId w:val="1633949244"/>
        <w:rPr>
          <w:rFonts w:hint="eastAsia"/>
          <w:sz w:val="30"/>
          <w:szCs w:val="30"/>
        </w:rPr>
      </w:pPr>
      <w:r>
        <w:rPr>
          <w:rFonts w:hint="eastAsia"/>
          <w:sz w:val="30"/>
          <w:szCs w:val="30"/>
        </w:rPr>
        <w:t>委托诉讼代理人：孙莹，辽宁昭明律师事务所律师。</w:t>
      </w:r>
    </w:p>
    <w:p w:rsidR="00000000" w:rsidRDefault="003B2C11">
      <w:pPr>
        <w:spacing w:line="500" w:lineRule="atLeast"/>
        <w:ind w:firstLine="600"/>
        <w:divId w:val="338703377"/>
        <w:rPr>
          <w:rFonts w:hint="eastAsia"/>
          <w:sz w:val="30"/>
          <w:szCs w:val="30"/>
        </w:rPr>
      </w:pPr>
      <w:r>
        <w:rPr>
          <w:rFonts w:hint="eastAsia"/>
          <w:sz w:val="30"/>
          <w:szCs w:val="30"/>
        </w:rPr>
        <w:t>上诉人孟丽青因与被上诉人欧姆龙（大连）有限公司劳动争议一案，不服大连经济技术开发区人民法院（</w:t>
      </w:r>
      <w:r>
        <w:rPr>
          <w:rFonts w:hint="eastAsia"/>
          <w:sz w:val="30"/>
          <w:szCs w:val="30"/>
        </w:rPr>
        <w:t>2022</w:t>
      </w:r>
      <w:r>
        <w:rPr>
          <w:rFonts w:hint="eastAsia"/>
          <w:sz w:val="30"/>
          <w:szCs w:val="30"/>
        </w:rPr>
        <w:t>）辽</w:t>
      </w:r>
      <w:r>
        <w:rPr>
          <w:rFonts w:hint="eastAsia"/>
          <w:sz w:val="30"/>
          <w:szCs w:val="30"/>
        </w:rPr>
        <w:t>0291</w:t>
      </w:r>
      <w:r>
        <w:rPr>
          <w:rFonts w:hint="eastAsia"/>
          <w:sz w:val="30"/>
          <w:szCs w:val="30"/>
        </w:rPr>
        <w:t>民初</w:t>
      </w:r>
      <w:r>
        <w:rPr>
          <w:rFonts w:hint="eastAsia"/>
          <w:sz w:val="30"/>
          <w:szCs w:val="30"/>
        </w:rPr>
        <w:t>1927</w:t>
      </w:r>
      <w:r>
        <w:rPr>
          <w:rFonts w:hint="eastAsia"/>
          <w:sz w:val="30"/>
          <w:szCs w:val="30"/>
        </w:rPr>
        <w:t>号民事裁定，向本院提起上诉。本院于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日立案后，依法组成合议庭对本案进行了审理。本案现已审理终结。</w:t>
      </w:r>
    </w:p>
    <w:p w:rsidR="00000000" w:rsidRDefault="003B2C11">
      <w:pPr>
        <w:spacing w:line="500" w:lineRule="atLeast"/>
        <w:ind w:firstLine="600"/>
        <w:divId w:val="53235264"/>
        <w:rPr>
          <w:rFonts w:hint="eastAsia"/>
          <w:sz w:val="30"/>
          <w:szCs w:val="30"/>
        </w:rPr>
      </w:pPr>
      <w:r>
        <w:rPr>
          <w:rFonts w:hint="eastAsia"/>
          <w:sz w:val="30"/>
          <w:szCs w:val="30"/>
        </w:rPr>
        <w:t>孟丽青上诉请求：</w:t>
      </w:r>
      <w:r>
        <w:rPr>
          <w:rFonts w:hint="eastAsia"/>
          <w:sz w:val="30"/>
          <w:szCs w:val="30"/>
        </w:rPr>
        <w:t>1.</w:t>
      </w:r>
      <w:r>
        <w:rPr>
          <w:rFonts w:hint="eastAsia"/>
          <w:sz w:val="30"/>
          <w:szCs w:val="30"/>
        </w:rPr>
        <w:t>判令撤销一审裁定，发回重审或改判支持上诉人的诉讼请求。</w:t>
      </w:r>
      <w:r>
        <w:rPr>
          <w:rFonts w:hint="eastAsia"/>
          <w:sz w:val="30"/>
          <w:szCs w:val="30"/>
        </w:rPr>
        <w:t>2.</w:t>
      </w:r>
      <w:r>
        <w:rPr>
          <w:rFonts w:hint="eastAsia"/>
          <w:sz w:val="30"/>
          <w:szCs w:val="30"/>
        </w:rPr>
        <w:t>上诉费由被上诉人承担。事实和理由：一、一审法院认为“劳动者是否达到退休年龄、是否符合退休条件的认定属于社会保险行政部门的行政职权范围，并非人民法院的审判权限范围”错误。</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日上诉人在</w:t>
      </w:r>
      <w:r>
        <w:rPr>
          <w:rFonts w:hint="eastAsia"/>
          <w:sz w:val="30"/>
          <w:szCs w:val="30"/>
        </w:rPr>
        <w:t>工作岗位正常工作的情况下，被上诉人以上诉人于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日年满</w:t>
      </w:r>
      <w:r>
        <w:rPr>
          <w:rFonts w:hint="eastAsia"/>
          <w:sz w:val="30"/>
          <w:szCs w:val="30"/>
        </w:rPr>
        <w:t>50</w:t>
      </w:r>
      <w:r>
        <w:rPr>
          <w:rFonts w:hint="eastAsia"/>
          <w:sz w:val="30"/>
          <w:szCs w:val="30"/>
        </w:rPr>
        <w:t>周岁达到法定退休年龄（延迟了</w:t>
      </w:r>
      <w:r>
        <w:rPr>
          <w:rFonts w:hint="eastAsia"/>
          <w:sz w:val="30"/>
          <w:szCs w:val="30"/>
        </w:rPr>
        <w:t>15</w:t>
      </w:r>
      <w:r>
        <w:rPr>
          <w:rFonts w:hint="eastAsia"/>
          <w:sz w:val="30"/>
          <w:szCs w:val="30"/>
        </w:rPr>
        <w:t>天）为由终止了劳动合同，上诉人从事的是海关监管加工贸易账册管理岗位，且劳动合同约定为在管理岗位从事管理工作，退休年龄应为</w:t>
      </w:r>
      <w:r>
        <w:rPr>
          <w:rFonts w:hint="eastAsia"/>
          <w:sz w:val="30"/>
          <w:szCs w:val="30"/>
        </w:rPr>
        <w:t>55</w:t>
      </w:r>
      <w:r>
        <w:rPr>
          <w:rFonts w:hint="eastAsia"/>
          <w:sz w:val="30"/>
          <w:szCs w:val="30"/>
        </w:rPr>
        <w:t>周岁，上诉人以违法终止合同为由提起劳动仲裁，劳动仲</w:t>
      </w:r>
      <w:r>
        <w:rPr>
          <w:rFonts w:hint="eastAsia"/>
          <w:sz w:val="30"/>
          <w:szCs w:val="30"/>
        </w:rPr>
        <w:lastRenderedPageBreak/>
        <w:t>裁部门认为符合劳动争议受案范围，本案不存在劳动仲裁部门出具《不予受理通知书》等情况，在对案件进行了实体审理后，大连金普新区劳动争议仲裁委员会作出了大金劳人仲裁终字（</w:t>
      </w:r>
      <w:r>
        <w:rPr>
          <w:rFonts w:hint="eastAsia"/>
          <w:sz w:val="30"/>
          <w:szCs w:val="30"/>
        </w:rPr>
        <w:t>2021</w:t>
      </w:r>
      <w:r>
        <w:rPr>
          <w:rFonts w:hint="eastAsia"/>
          <w:sz w:val="30"/>
          <w:szCs w:val="30"/>
        </w:rPr>
        <w:t>）第</w:t>
      </w:r>
      <w:r>
        <w:rPr>
          <w:rFonts w:hint="eastAsia"/>
          <w:sz w:val="30"/>
          <w:szCs w:val="30"/>
        </w:rPr>
        <w:t>0483</w:t>
      </w:r>
      <w:r>
        <w:rPr>
          <w:rFonts w:hint="eastAsia"/>
          <w:sz w:val="30"/>
          <w:szCs w:val="30"/>
        </w:rPr>
        <w:t>号《仲裁裁决书》。上诉人对该裁决不服，向一审法院</w:t>
      </w:r>
      <w:r>
        <w:rPr>
          <w:rFonts w:hint="eastAsia"/>
          <w:sz w:val="30"/>
          <w:szCs w:val="30"/>
        </w:rPr>
        <w:t>提起了诉讼。根据《最高人民法院关于审理劳动争议案件适用法律问题的解释（一）》（法释〔</w:t>
      </w:r>
      <w:r>
        <w:rPr>
          <w:rFonts w:hint="eastAsia"/>
          <w:sz w:val="30"/>
          <w:szCs w:val="30"/>
        </w:rPr>
        <w:t>2020</w:t>
      </w:r>
      <w:r>
        <w:rPr>
          <w:rFonts w:hint="eastAsia"/>
          <w:sz w:val="30"/>
          <w:szCs w:val="30"/>
        </w:rPr>
        <w:t>〕</w:t>
      </w:r>
      <w:r>
        <w:rPr>
          <w:rFonts w:hint="eastAsia"/>
          <w:sz w:val="30"/>
          <w:szCs w:val="30"/>
        </w:rPr>
        <w:t>26</w:t>
      </w:r>
      <w:r>
        <w:rPr>
          <w:rFonts w:hint="eastAsia"/>
          <w:sz w:val="30"/>
          <w:szCs w:val="30"/>
        </w:rPr>
        <w:t>号）第一条：“劳动者与用人单位之间发生的下列纠纷，属于劳动争议，当事人不服劳动争议仲裁机构作出的裁决，依法提起诉讼的，人民法院应予受理：…（三）劳动者与用人单位因劳动关系是否已经解除或者终止，以及应否支付解除或者终止劳动关系经济补偿金发生的纠纷”，本案系劳动合同终止纠纷，上诉人起诉要求的系发放经济补偿金，符合人民法院的受案范围和人民法院的审判权限范围，一审法院以不属于“人民法院的审判权限范围”驳回上诉人的起诉错</w:t>
      </w:r>
      <w:r>
        <w:rPr>
          <w:rFonts w:hint="eastAsia"/>
          <w:sz w:val="30"/>
          <w:szCs w:val="30"/>
        </w:rPr>
        <w:t>误，一审法院应对本案进行实体查明后作出判决。根据《大连市劳动局关于企业职工退休审批工作有关问题处理意见的通知》（大劳险字（</w:t>
      </w:r>
      <w:r>
        <w:rPr>
          <w:rFonts w:hint="eastAsia"/>
          <w:sz w:val="30"/>
          <w:szCs w:val="30"/>
        </w:rPr>
        <w:t>97</w:t>
      </w:r>
      <w:r>
        <w:rPr>
          <w:rFonts w:hint="eastAsia"/>
          <w:sz w:val="30"/>
          <w:szCs w:val="30"/>
        </w:rPr>
        <w:t>）</w:t>
      </w:r>
      <w:r>
        <w:rPr>
          <w:rFonts w:hint="eastAsia"/>
          <w:sz w:val="30"/>
          <w:szCs w:val="30"/>
        </w:rPr>
        <w:t>274</w:t>
      </w:r>
      <w:r>
        <w:rPr>
          <w:rFonts w:hint="eastAsia"/>
          <w:sz w:val="30"/>
          <w:szCs w:val="30"/>
        </w:rPr>
        <w:t>号，以下简称</w:t>
      </w:r>
      <w:r>
        <w:rPr>
          <w:rFonts w:hint="eastAsia"/>
          <w:sz w:val="30"/>
          <w:szCs w:val="30"/>
        </w:rPr>
        <w:t>274</w:t>
      </w:r>
      <w:r>
        <w:rPr>
          <w:rFonts w:hint="eastAsia"/>
          <w:sz w:val="30"/>
          <w:szCs w:val="30"/>
        </w:rPr>
        <w:t>号文件）第三条第五款：“职工是否达到退休年龄，企业应提供其居民身份证和本人档案，由劳动行政部门认定。”，即企业应当主动向劳动行政部门申请认定“劳动者是否达到退休年龄、是否符合退休条件”，在一审法院审理过程中应当查明企业是否履行了上述认定手续，是否取得《退休人员审批表》，只有满足上述条件才能为劳动者办理退休，企业未履行手续或行政部门审批不通过的，不得办理退休和</w:t>
      </w:r>
      <w:r>
        <w:rPr>
          <w:rFonts w:hint="eastAsia"/>
          <w:sz w:val="30"/>
          <w:szCs w:val="30"/>
        </w:rPr>
        <w:t>终止合同，上述事宜完全可以在一审过程中通过双方的举证查清，不存在一审法院认为的“并非人民法院的审判权限范围”问题。二、一审法院认为“原告应首先向当地劳动行政部门就其本人是否达到退休年龄申请认定，得到认定后再行向本院提</w:t>
      </w:r>
      <w:r>
        <w:rPr>
          <w:rFonts w:hint="eastAsia"/>
          <w:sz w:val="30"/>
          <w:szCs w:val="30"/>
        </w:rPr>
        <w:lastRenderedPageBreak/>
        <w:t>起劳动争议项下的赔偿诉讼”错误。根据上述</w:t>
      </w:r>
      <w:r>
        <w:rPr>
          <w:rFonts w:hint="eastAsia"/>
          <w:sz w:val="30"/>
          <w:szCs w:val="30"/>
        </w:rPr>
        <w:t>274</w:t>
      </w:r>
      <w:r>
        <w:rPr>
          <w:rFonts w:hint="eastAsia"/>
          <w:sz w:val="30"/>
          <w:szCs w:val="30"/>
        </w:rPr>
        <w:t>号文件，职工是否达到退休年龄，企业应提供其居民身份证和本人档案，由劳动行政部门认定，即企业应当向劳动行政部门申请退休年龄认定，上述手续应由企业办理，上述文件在一审庭审时已经向一审法院提供，一审法院违背法律规定和司法实践，要求劳动者“首先”到劳动行政部</w:t>
      </w:r>
      <w:r>
        <w:rPr>
          <w:rFonts w:hint="eastAsia"/>
          <w:sz w:val="30"/>
          <w:szCs w:val="30"/>
        </w:rPr>
        <w:t>门进行退休年龄认定完全违背了法律规定，一审法院作出上述认定无事实和法律依据。</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日，上诉人向大连市人力资源和社会保障局申请“依据申请人的劳动合同公开申请人的法定退休年龄是</w:t>
      </w:r>
      <w:r>
        <w:rPr>
          <w:rFonts w:hint="eastAsia"/>
          <w:sz w:val="30"/>
          <w:szCs w:val="30"/>
        </w:rPr>
        <w:t>55</w:t>
      </w:r>
      <w:r>
        <w:rPr>
          <w:rFonts w:hint="eastAsia"/>
          <w:sz w:val="30"/>
          <w:szCs w:val="30"/>
        </w:rPr>
        <w:t>周岁还是</w:t>
      </w:r>
      <w:r>
        <w:rPr>
          <w:rFonts w:hint="eastAsia"/>
          <w:sz w:val="30"/>
          <w:szCs w:val="30"/>
        </w:rPr>
        <w:t>50</w:t>
      </w:r>
      <w:r>
        <w:rPr>
          <w:rFonts w:hint="eastAsia"/>
          <w:sz w:val="30"/>
          <w:szCs w:val="30"/>
        </w:rPr>
        <w:t>周岁的相关信息”，该局大人社依复（</w:t>
      </w:r>
      <w:r>
        <w:rPr>
          <w:rFonts w:hint="eastAsia"/>
          <w:sz w:val="30"/>
          <w:szCs w:val="30"/>
        </w:rPr>
        <w:t>2022</w:t>
      </w:r>
      <w:r>
        <w:rPr>
          <w:rFonts w:hint="eastAsia"/>
          <w:sz w:val="30"/>
          <w:szCs w:val="30"/>
        </w:rPr>
        <w:t>）第</w:t>
      </w:r>
      <w:r>
        <w:rPr>
          <w:rFonts w:hint="eastAsia"/>
          <w:sz w:val="30"/>
          <w:szCs w:val="30"/>
        </w:rPr>
        <w:t>16</w:t>
      </w:r>
      <w:r>
        <w:rPr>
          <w:rFonts w:hint="eastAsia"/>
          <w:sz w:val="30"/>
          <w:szCs w:val="30"/>
        </w:rPr>
        <w:t>号明确答复上述信息不作为政府信息公开申请处理，请通过政策咨询或经办窗口进行获取。上诉人为此提供了多份向大连金普新区人力资源和社会保障局退休窗口咨询录音和向退休窗口官方办公电话</w:t>
      </w:r>
      <w:r>
        <w:rPr>
          <w:rFonts w:hint="eastAsia"/>
          <w:sz w:val="30"/>
          <w:szCs w:val="30"/>
        </w:rPr>
        <w:t>6589</w:t>
      </w:r>
      <w:r>
        <w:rPr>
          <w:rFonts w:hint="eastAsia"/>
          <w:sz w:val="30"/>
          <w:szCs w:val="30"/>
        </w:rPr>
        <w:t>××××咨询的录音（</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日），上述多份录音明确答复：退休审核时看劳</w:t>
      </w:r>
      <w:r>
        <w:rPr>
          <w:rFonts w:hint="eastAsia"/>
          <w:sz w:val="30"/>
          <w:szCs w:val="30"/>
        </w:rPr>
        <w:t>动合同，上诉人的劳动合同岗位约定为管理，上诉人的法定退休年龄为</w:t>
      </w:r>
      <w:r>
        <w:rPr>
          <w:rFonts w:hint="eastAsia"/>
          <w:sz w:val="30"/>
          <w:szCs w:val="30"/>
        </w:rPr>
        <w:t>55</w:t>
      </w:r>
      <w:r>
        <w:rPr>
          <w:rFonts w:hint="eastAsia"/>
          <w:sz w:val="30"/>
          <w:szCs w:val="30"/>
        </w:rPr>
        <w:t>周岁，上诉人不应在</w:t>
      </w:r>
      <w:r>
        <w:rPr>
          <w:rFonts w:hint="eastAsia"/>
          <w:sz w:val="30"/>
          <w:szCs w:val="30"/>
        </w:rPr>
        <w:t>50</w:t>
      </w:r>
      <w:r>
        <w:rPr>
          <w:rFonts w:hint="eastAsia"/>
          <w:sz w:val="30"/>
          <w:szCs w:val="30"/>
        </w:rPr>
        <w:t>岁办理退休。</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日，与本案类似的桂花芬案件，一审法院于</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安排法官助理那广伍与和桂花芬向金普退休审核部门出具调查函，到金普退休审核窗口进行调查核实，退休审核窗口明确答复：“退休年龄的审核是按照劳动合同约定的岗位进行判定，劳动合同约定是管理岗位退休年龄是</w:t>
      </w:r>
      <w:r>
        <w:rPr>
          <w:rFonts w:hint="eastAsia"/>
          <w:sz w:val="30"/>
          <w:szCs w:val="30"/>
        </w:rPr>
        <w:t>55</w:t>
      </w:r>
      <w:r>
        <w:rPr>
          <w:rFonts w:hint="eastAsia"/>
          <w:sz w:val="30"/>
          <w:szCs w:val="30"/>
        </w:rPr>
        <w:t>周岁，约定工人岗位退休年龄是</w:t>
      </w:r>
      <w:r>
        <w:rPr>
          <w:rFonts w:hint="eastAsia"/>
          <w:sz w:val="30"/>
          <w:szCs w:val="30"/>
        </w:rPr>
        <w:t>50</w:t>
      </w:r>
      <w:r>
        <w:rPr>
          <w:rFonts w:hint="eastAsia"/>
          <w:sz w:val="30"/>
          <w:szCs w:val="30"/>
        </w:rPr>
        <w:t>周岁，如果劳动合同没有明确约定岗位的话要结合企业的合法规定来判定”。上述多份证据均能够证明行政部门答复上诉人</w:t>
      </w:r>
      <w:r>
        <w:rPr>
          <w:rFonts w:hint="eastAsia"/>
          <w:sz w:val="30"/>
          <w:szCs w:val="30"/>
        </w:rPr>
        <w:t>为</w:t>
      </w:r>
      <w:r>
        <w:rPr>
          <w:rFonts w:hint="eastAsia"/>
          <w:sz w:val="30"/>
          <w:szCs w:val="30"/>
        </w:rPr>
        <w:t>55</w:t>
      </w:r>
      <w:r>
        <w:rPr>
          <w:rFonts w:hint="eastAsia"/>
          <w:sz w:val="30"/>
          <w:szCs w:val="30"/>
        </w:rPr>
        <w:t>周岁的退休意见和应由企业办理相关手续的事实，一审法院要求劳动者先行办理退休年龄认定手续再行诉讼的做法严重违反法律规定和司法实践办理流程。同时，上诉人通过律师调查令及申请法院、上诉人、被上诉人三方共同到退休审核窗口核实等方式要求核实退休年龄，一审法院还向大连金普新区人力资源和社会保障局、大连金普新区就业和社会保险事务服务中心发函，要求其回函，该局退休事务部门同志到一审法院座谈后，一直没有复函。一审法院在该局迟迟未回函的前提下，径行裁判要求劳动者办理上述手续无任何事实和法律依据，且与上诉人提供的各项录音及</w:t>
      </w:r>
      <w:r>
        <w:rPr>
          <w:rFonts w:hint="eastAsia"/>
          <w:sz w:val="30"/>
          <w:szCs w:val="30"/>
        </w:rPr>
        <w:t>规定相悖，一审裁定应予撤销。三、一审法院适用法律错误。一审法院根据《中华人民共和国民事诉讼法》第一百二十七条第一款第三项：“人民法院对下列起诉，分别情形，予以处理：……（三）依照法律规定，应当由其他机关处理的争议，告知原告向有关机关申请解决”，驳回了上诉人的起诉，但该项法律规定一般是指有特殊规定的，如土地征收裁决、医疗事故等有特殊规定的案件，本案不存在应当由其他机关处理的争议，一审法院依据上述规定驳回了上诉人的起诉错误。四、根据类案同判原则，《最高人民法院统一法律适用工作实施办法》规定应落实类案检索制度，实</w:t>
      </w:r>
      <w:r>
        <w:rPr>
          <w:rFonts w:hint="eastAsia"/>
          <w:sz w:val="30"/>
          <w:szCs w:val="30"/>
        </w:rPr>
        <w:t>现“类案同判”，通过检索相关案例，（</w:t>
      </w:r>
      <w:r>
        <w:rPr>
          <w:rFonts w:hint="eastAsia"/>
          <w:sz w:val="30"/>
          <w:szCs w:val="30"/>
        </w:rPr>
        <w:t>2022</w:t>
      </w:r>
      <w:r>
        <w:rPr>
          <w:rFonts w:hint="eastAsia"/>
          <w:sz w:val="30"/>
          <w:szCs w:val="30"/>
        </w:rPr>
        <w:t>）辽</w:t>
      </w:r>
      <w:r>
        <w:rPr>
          <w:rFonts w:hint="eastAsia"/>
          <w:sz w:val="30"/>
          <w:szCs w:val="30"/>
        </w:rPr>
        <w:t>02</w:t>
      </w:r>
      <w:r>
        <w:rPr>
          <w:rFonts w:hint="eastAsia"/>
          <w:sz w:val="30"/>
          <w:szCs w:val="30"/>
        </w:rPr>
        <w:t>民终</w:t>
      </w:r>
      <w:r>
        <w:rPr>
          <w:rFonts w:hint="eastAsia"/>
          <w:sz w:val="30"/>
          <w:szCs w:val="30"/>
        </w:rPr>
        <w:t>7804</w:t>
      </w:r>
      <w:r>
        <w:rPr>
          <w:rFonts w:hint="eastAsia"/>
          <w:sz w:val="30"/>
          <w:szCs w:val="30"/>
        </w:rPr>
        <w:t>号大连沃尔玛百货有限公司与赵云俊劳动合同纠纷二审判决书、（</w:t>
      </w:r>
      <w:r>
        <w:rPr>
          <w:rFonts w:hint="eastAsia"/>
          <w:sz w:val="30"/>
          <w:szCs w:val="30"/>
        </w:rPr>
        <w:t>2018</w:t>
      </w:r>
      <w:r>
        <w:rPr>
          <w:rFonts w:hint="eastAsia"/>
          <w:sz w:val="30"/>
          <w:szCs w:val="30"/>
        </w:rPr>
        <w:t>）辽</w:t>
      </w:r>
      <w:r>
        <w:rPr>
          <w:rFonts w:hint="eastAsia"/>
          <w:sz w:val="30"/>
          <w:szCs w:val="30"/>
        </w:rPr>
        <w:t>02</w:t>
      </w:r>
      <w:r>
        <w:rPr>
          <w:rFonts w:hint="eastAsia"/>
          <w:sz w:val="30"/>
          <w:szCs w:val="30"/>
        </w:rPr>
        <w:t>民终</w:t>
      </w:r>
      <w:r>
        <w:rPr>
          <w:rFonts w:hint="eastAsia"/>
          <w:sz w:val="30"/>
          <w:szCs w:val="30"/>
        </w:rPr>
        <w:t>929</w:t>
      </w:r>
      <w:r>
        <w:rPr>
          <w:rFonts w:hint="eastAsia"/>
          <w:sz w:val="30"/>
          <w:szCs w:val="30"/>
        </w:rPr>
        <w:t>号利优比（大连）机器有限公司、徐花善劳动合同纠纷二审民事判决书等多份判决，法院均进行了实体查明，不存在以不属于法院审查范围等驳回裁定，按照类案同判原则，应对本案进行实体审查后作出判决。综上所述，一审法院把“不应”由劳动者办理的退休认定手续强加给劳动者，用与劳动行政部门办理流程完全相反的流程来驳回上诉人的起诉无事实和法律依据，现特提起上诉，望二审法院改判支持上诉人</w:t>
      </w:r>
      <w:r>
        <w:rPr>
          <w:rFonts w:hint="eastAsia"/>
          <w:sz w:val="30"/>
          <w:szCs w:val="30"/>
        </w:rPr>
        <w:t>的诉讼请求。</w:t>
      </w:r>
    </w:p>
    <w:p w:rsidR="00000000" w:rsidRDefault="003B2C11">
      <w:pPr>
        <w:spacing w:line="500" w:lineRule="atLeast"/>
        <w:ind w:firstLine="600"/>
        <w:divId w:val="493568653"/>
        <w:rPr>
          <w:rFonts w:hint="eastAsia"/>
          <w:sz w:val="30"/>
          <w:szCs w:val="30"/>
        </w:rPr>
      </w:pPr>
      <w:r>
        <w:rPr>
          <w:rFonts w:hint="eastAsia"/>
          <w:sz w:val="30"/>
          <w:szCs w:val="30"/>
        </w:rPr>
        <w:t>欧姆龙（大连）有限公司辩称，本案争议焦点是对上诉人退休年龄的认定，这是判断双方之间劳动关系是否合法终止的关键，而上诉人是否达到法定退休年龄属于劳动行政部门的行政职权范围。在类案桂花芬与纪伊塑料（大连）有限公司劳动争议一案（下称“桂花芬案”）中，劳动仲裁、一审法院均在实体上驳回了劳动者关于支付违法终止劳动合同赔偿金的诉请，但市中院二审认为一审法院应向当地劳动行政部门就劳动者是否达到退休年龄进一步调查核实，并根据劳动行政部门的明确答复或认定意见，再对双方之间劳动关系是否合法终止作出裁判。本案一审过</w:t>
      </w:r>
      <w:r>
        <w:rPr>
          <w:rFonts w:hint="eastAsia"/>
          <w:sz w:val="30"/>
          <w:szCs w:val="30"/>
        </w:rPr>
        <w:t>程中，一审法院就本案以及“桂花芬案”一同向大连金普新区人力资源和社会保障局、大连金普新区就业和社会保险事务服务中心发函，并与金普新区人社局退休事务部门工作人员座谈，要求人社局对本案上诉人以及桂花芬是否达到退休年龄提供明确答复或认定意见，但人社局一直未予复函。在此背景下，一审法院依据《民事诉讼法》第一百二十七条第一款第三项，裁定驳回上诉人的起诉，并无任何不当，实质上亦未影响上诉人未来就案涉争议再行主张权利的诉权，但前提是劳动行政部门对其是否达到法定退休年龄有明确的认定结论。此外，上诉人提及的（</w:t>
      </w:r>
      <w:r>
        <w:rPr>
          <w:rFonts w:hint="eastAsia"/>
          <w:sz w:val="30"/>
          <w:szCs w:val="30"/>
        </w:rPr>
        <w:t>2018</w:t>
      </w:r>
      <w:r>
        <w:rPr>
          <w:rFonts w:hint="eastAsia"/>
          <w:sz w:val="30"/>
          <w:szCs w:val="30"/>
        </w:rPr>
        <w:t>）辽</w:t>
      </w:r>
      <w:r>
        <w:rPr>
          <w:rFonts w:hint="eastAsia"/>
          <w:sz w:val="30"/>
          <w:szCs w:val="30"/>
        </w:rPr>
        <w:t>02</w:t>
      </w:r>
      <w:r>
        <w:rPr>
          <w:rFonts w:hint="eastAsia"/>
          <w:sz w:val="30"/>
          <w:szCs w:val="30"/>
        </w:rPr>
        <w:t>民终</w:t>
      </w:r>
      <w:r>
        <w:rPr>
          <w:rFonts w:hint="eastAsia"/>
          <w:sz w:val="30"/>
          <w:szCs w:val="30"/>
        </w:rPr>
        <w:t>929</w:t>
      </w:r>
      <w:r>
        <w:rPr>
          <w:rFonts w:hint="eastAsia"/>
          <w:sz w:val="30"/>
          <w:szCs w:val="30"/>
        </w:rPr>
        <w:t>号案件，不符合《最高人民法院关于统一法律适用加强类案检索的指导意见（试行）》第四条规定的优先检索近三年案例的要求，且与本案不属于类案，本案上诉人曾在退休预审时确认过其退休年龄为</w:t>
      </w:r>
      <w:r>
        <w:rPr>
          <w:rFonts w:hint="eastAsia"/>
          <w:sz w:val="30"/>
          <w:szCs w:val="30"/>
        </w:rPr>
        <w:t>50</w:t>
      </w:r>
      <w:r>
        <w:rPr>
          <w:rFonts w:hint="eastAsia"/>
          <w:sz w:val="30"/>
          <w:szCs w:val="30"/>
        </w:rPr>
        <w:t>周岁；（</w:t>
      </w:r>
      <w:r>
        <w:rPr>
          <w:rFonts w:hint="eastAsia"/>
          <w:sz w:val="30"/>
          <w:szCs w:val="30"/>
        </w:rPr>
        <w:t>2022</w:t>
      </w:r>
      <w:r>
        <w:rPr>
          <w:rFonts w:hint="eastAsia"/>
          <w:sz w:val="30"/>
          <w:szCs w:val="30"/>
        </w:rPr>
        <w:t>）辽</w:t>
      </w:r>
      <w:r>
        <w:rPr>
          <w:rFonts w:hint="eastAsia"/>
          <w:sz w:val="30"/>
          <w:szCs w:val="30"/>
        </w:rPr>
        <w:t>02</w:t>
      </w:r>
      <w:r>
        <w:rPr>
          <w:rFonts w:hint="eastAsia"/>
          <w:sz w:val="30"/>
          <w:szCs w:val="30"/>
        </w:rPr>
        <w:t>民终</w:t>
      </w:r>
      <w:r>
        <w:rPr>
          <w:rFonts w:hint="eastAsia"/>
          <w:sz w:val="30"/>
          <w:szCs w:val="30"/>
        </w:rPr>
        <w:t>7804</w:t>
      </w:r>
      <w:r>
        <w:rPr>
          <w:rFonts w:hint="eastAsia"/>
          <w:sz w:val="30"/>
          <w:szCs w:val="30"/>
        </w:rPr>
        <w:t>号案件争议焦点是劳动者年满</w:t>
      </w:r>
      <w:r>
        <w:rPr>
          <w:rFonts w:hint="eastAsia"/>
          <w:sz w:val="30"/>
          <w:szCs w:val="30"/>
        </w:rPr>
        <w:t>50</w:t>
      </w:r>
      <w:r>
        <w:rPr>
          <w:rFonts w:hint="eastAsia"/>
          <w:sz w:val="30"/>
          <w:szCs w:val="30"/>
        </w:rPr>
        <w:t>周岁如何确定的问题，即生日当天还是次日年满</w:t>
      </w:r>
      <w:r>
        <w:rPr>
          <w:rFonts w:hint="eastAsia"/>
          <w:sz w:val="30"/>
          <w:szCs w:val="30"/>
        </w:rPr>
        <w:t>50</w:t>
      </w:r>
      <w:r>
        <w:rPr>
          <w:rFonts w:hint="eastAsia"/>
          <w:sz w:val="30"/>
          <w:szCs w:val="30"/>
        </w:rPr>
        <w:t>周岁，与本案亦不属于类案。综上，被上诉人认为一审法院适用法律正确，依法应予维持，恳请二审法院驳回上诉人的上诉请求。</w:t>
      </w:r>
    </w:p>
    <w:p w:rsidR="00000000" w:rsidRDefault="003B2C11">
      <w:pPr>
        <w:spacing w:line="500" w:lineRule="atLeast"/>
        <w:ind w:firstLine="600"/>
        <w:divId w:val="829442175"/>
        <w:rPr>
          <w:rFonts w:hint="eastAsia"/>
          <w:sz w:val="30"/>
          <w:szCs w:val="30"/>
        </w:rPr>
      </w:pPr>
      <w:r>
        <w:rPr>
          <w:rFonts w:hint="eastAsia"/>
          <w:sz w:val="30"/>
          <w:szCs w:val="30"/>
        </w:rPr>
        <w:t>孟丽青向一审法院起诉请求：判令被告向原告给付经济赔偿金</w:t>
      </w:r>
      <w:r>
        <w:rPr>
          <w:rFonts w:hint="eastAsia"/>
          <w:sz w:val="30"/>
          <w:szCs w:val="30"/>
        </w:rPr>
        <w:t>333715.2</w:t>
      </w:r>
      <w:r>
        <w:rPr>
          <w:rFonts w:hint="eastAsia"/>
          <w:sz w:val="30"/>
          <w:szCs w:val="30"/>
        </w:rPr>
        <w:t>元（</w:t>
      </w:r>
      <w:r>
        <w:rPr>
          <w:rFonts w:hint="eastAsia"/>
          <w:sz w:val="30"/>
          <w:szCs w:val="30"/>
        </w:rPr>
        <w:t>11918.4</w:t>
      </w:r>
      <w:r>
        <w:rPr>
          <w:rFonts w:hint="eastAsia"/>
          <w:sz w:val="30"/>
          <w:szCs w:val="30"/>
        </w:rPr>
        <w:t>元</w:t>
      </w:r>
      <w:r>
        <w:rPr>
          <w:rFonts w:hint="eastAsia"/>
          <w:sz w:val="30"/>
          <w:szCs w:val="30"/>
        </w:rPr>
        <w:t>*1</w:t>
      </w:r>
      <w:r>
        <w:rPr>
          <w:rFonts w:hint="eastAsia"/>
          <w:sz w:val="30"/>
          <w:szCs w:val="30"/>
        </w:rPr>
        <w:t>4</w:t>
      </w:r>
      <w:r>
        <w:rPr>
          <w:rFonts w:hint="eastAsia"/>
          <w:sz w:val="30"/>
          <w:szCs w:val="30"/>
        </w:rPr>
        <w:t>个月</w:t>
      </w:r>
      <w:r>
        <w:rPr>
          <w:rFonts w:hint="eastAsia"/>
          <w:sz w:val="30"/>
          <w:szCs w:val="30"/>
        </w:rPr>
        <w:t>*2</w:t>
      </w:r>
      <w:r>
        <w:rPr>
          <w:rFonts w:hint="eastAsia"/>
          <w:sz w:val="30"/>
          <w:szCs w:val="30"/>
        </w:rPr>
        <w:t>）。</w:t>
      </w:r>
    </w:p>
    <w:p w:rsidR="00000000" w:rsidRDefault="003B2C11">
      <w:pPr>
        <w:spacing w:line="500" w:lineRule="atLeast"/>
        <w:ind w:firstLine="600"/>
        <w:divId w:val="1310404803"/>
        <w:rPr>
          <w:rFonts w:hint="eastAsia"/>
          <w:sz w:val="30"/>
          <w:szCs w:val="30"/>
        </w:rPr>
      </w:pPr>
      <w:r>
        <w:rPr>
          <w:rFonts w:hint="eastAsia"/>
          <w:sz w:val="30"/>
          <w:szCs w:val="30"/>
        </w:rPr>
        <w:t>一审法院认为，原告是否达到退休年龄、是否符合退休条件是本案进行实体审理所需明确的前提问题。而劳动者是否达到退休年龄、是否符合退休条件的认定属于社会保险行政部门的行政职权范围，并非人民法院的审判权限范围。故原告应首先向当地劳动行政部门就其本人是否达到退休年龄提出主张，得到认定后再行向一审法院提起赔偿诉讼。原告向人民法院提起诉讼，不符合法定程序，应予驳回。综上，依据《中华人民共和国民事诉讼法》第一百二十七条第一款第（三）项之规定，裁定如下：驳回原告孟丽青的起诉。案件受理费免于收取。</w:t>
      </w:r>
    </w:p>
    <w:p w:rsidR="00000000" w:rsidRDefault="003B2C11">
      <w:pPr>
        <w:spacing w:line="500" w:lineRule="atLeast"/>
        <w:ind w:firstLine="600"/>
        <w:divId w:val="791047705"/>
        <w:rPr>
          <w:rFonts w:hint="eastAsia"/>
          <w:sz w:val="30"/>
          <w:szCs w:val="30"/>
        </w:rPr>
      </w:pPr>
      <w:r>
        <w:rPr>
          <w:rFonts w:hint="eastAsia"/>
          <w:sz w:val="30"/>
          <w:szCs w:val="30"/>
        </w:rPr>
        <w:t>本院认为，本</w:t>
      </w:r>
      <w:r>
        <w:rPr>
          <w:rFonts w:hint="eastAsia"/>
          <w:sz w:val="30"/>
          <w:szCs w:val="30"/>
        </w:rPr>
        <w:t>案上诉人虽因终止劳动合同发生纠纷，但实质是对上诉人是否达到退休年龄产生争议。根据《大连市劳动局关于企业职工退休审批工作有关问题处理意见的通知》（大劳险字（</w:t>
      </w:r>
      <w:r>
        <w:rPr>
          <w:rFonts w:hint="eastAsia"/>
          <w:sz w:val="30"/>
          <w:szCs w:val="30"/>
        </w:rPr>
        <w:t>97</w:t>
      </w:r>
      <w:r>
        <w:rPr>
          <w:rFonts w:hint="eastAsia"/>
          <w:sz w:val="30"/>
          <w:szCs w:val="30"/>
        </w:rPr>
        <w:t>）</w:t>
      </w:r>
      <w:r>
        <w:rPr>
          <w:rFonts w:hint="eastAsia"/>
          <w:sz w:val="30"/>
          <w:szCs w:val="30"/>
        </w:rPr>
        <w:t>274</w:t>
      </w:r>
      <w:r>
        <w:rPr>
          <w:rFonts w:hint="eastAsia"/>
          <w:sz w:val="30"/>
          <w:szCs w:val="30"/>
        </w:rPr>
        <w:t>号文件）第三条第五款规定：“职工是否达到退休年龄，企业应提供其居民身份证和本人档案，由劳动行政部门认定。”依此规定可知，劳动者是否达到退休年龄、是否符合退休条件的认定属于社会保险行政部门的行政职权范围，并非人民法院的审判权限范围。在上诉人未提供证据证明已经劳动行政部门认定的前提下，其直接向人民法院提起劳动争议赔偿诉讼，依据不足，应驳回其起诉。</w:t>
      </w:r>
    </w:p>
    <w:p w:rsidR="00000000" w:rsidRDefault="003B2C11">
      <w:pPr>
        <w:spacing w:line="500" w:lineRule="atLeast"/>
        <w:ind w:firstLine="600"/>
        <w:divId w:val="1509904268"/>
        <w:rPr>
          <w:rFonts w:hint="eastAsia"/>
          <w:sz w:val="30"/>
          <w:szCs w:val="30"/>
        </w:rPr>
      </w:pPr>
      <w:r>
        <w:rPr>
          <w:rFonts w:hint="eastAsia"/>
          <w:sz w:val="30"/>
          <w:szCs w:val="30"/>
        </w:rPr>
        <w:t>综上所述，孟丽青的上诉请求不能成立，应予驳回；一审裁定应予维持。依照《中华人民共和国民事诉讼法》第一百七十七条第一款第一项规定，裁定如下：</w:t>
      </w:r>
    </w:p>
    <w:p w:rsidR="00000000" w:rsidRDefault="003B2C11">
      <w:pPr>
        <w:spacing w:line="500" w:lineRule="atLeast"/>
        <w:ind w:firstLine="600"/>
        <w:divId w:val="989404494"/>
        <w:rPr>
          <w:rFonts w:hint="eastAsia"/>
          <w:sz w:val="30"/>
          <w:szCs w:val="30"/>
        </w:rPr>
      </w:pPr>
      <w:r>
        <w:rPr>
          <w:rFonts w:hint="eastAsia"/>
          <w:sz w:val="30"/>
          <w:szCs w:val="30"/>
        </w:rPr>
        <w:t>驳回上诉，维持原裁定。</w:t>
      </w:r>
    </w:p>
    <w:p w:rsidR="00000000" w:rsidRDefault="003B2C11">
      <w:pPr>
        <w:spacing w:line="500" w:lineRule="atLeast"/>
        <w:ind w:firstLine="600"/>
        <w:divId w:val="1196039565"/>
        <w:rPr>
          <w:rFonts w:hint="eastAsia"/>
          <w:sz w:val="30"/>
          <w:szCs w:val="30"/>
        </w:rPr>
      </w:pPr>
      <w:r>
        <w:rPr>
          <w:rFonts w:hint="eastAsia"/>
          <w:sz w:val="30"/>
          <w:szCs w:val="30"/>
        </w:rPr>
        <w:t>本裁定为终审裁定。</w:t>
      </w:r>
    </w:p>
    <w:p w:rsidR="00000000" w:rsidRDefault="003B2C11">
      <w:pPr>
        <w:spacing w:line="500" w:lineRule="atLeast"/>
        <w:jc w:val="right"/>
        <w:divId w:val="700592340"/>
        <w:rPr>
          <w:rFonts w:hint="eastAsia"/>
          <w:sz w:val="30"/>
          <w:szCs w:val="30"/>
        </w:rPr>
      </w:pPr>
      <w:r>
        <w:rPr>
          <w:rFonts w:hint="eastAsia"/>
          <w:sz w:val="30"/>
          <w:szCs w:val="30"/>
        </w:rPr>
        <w:t>审判长　林荣峰</w:t>
      </w:r>
      <w:r>
        <w:rPr>
          <w:rFonts w:hint="eastAsia"/>
          <w:sz w:val="30"/>
          <w:szCs w:val="30"/>
        </w:rPr>
        <w:t>?</w:t>
      </w:r>
      <w:r>
        <w:rPr>
          <w:rFonts w:hint="eastAsia"/>
          <w:sz w:val="30"/>
          <w:szCs w:val="30"/>
        </w:rPr>
        <w:t>审判员刘杰</w:t>
      </w:r>
      <w:r>
        <w:rPr>
          <w:rFonts w:hint="eastAsia"/>
          <w:sz w:val="30"/>
          <w:szCs w:val="30"/>
        </w:rPr>
        <w:t>?</w:t>
      </w:r>
      <w:r>
        <w:rPr>
          <w:rFonts w:hint="eastAsia"/>
          <w:sz w:val="30"/>
          <w:szCs w:val="30"/>
        </w:rPr>
        <w:t>审判员宁宁</w:t>
      </w:r>
    </w:p>
    <w:p w:rsidR="00000000" w:rsidRDefault="003B2C11">
      <w:pPr>
        <w:spacing w:line="500" w:lineRule="atLeast"/>
        <w:jc w:val="right"/>
        <w:divId w:val="1205291955"/>
        <w:rPr>
          <w:rFonts w:hint="eastAsia"/>
          <w:sz w:val="30"/>
          <w:szCs w:val="30"/>
        </w:rPr>
      </w:pPr>
      <w:r>
        <w:rPr>
          <w:rFonts w:hint="eastAsia"/>
          <w:sz w:val="30"/>
          <w:szCs w:val="30"/>
        </w:rPr>
        <w:t>二〇二三年三月十日</w:t>
      </w:r>
    </w:p>
    <w:p w:rsidR="00000000" w:rsidRDefault="003B2C11">
      <w:pPr>
        <w:spacing w:line="500" w:lineRule="atLeast"/>
        <w:jc w:val="right"/>
        <w:divId w:val="682246287"/>
        <w:rPr>
          <w:rFonts w:hint="eastAsia"/>
          <w:sz w:val="30"/>
          <w:szCs w:val="30"/>
        </w:rPr>
      </w:pPr>
      <w:r>
        <w:rPr>
          <w:rFonts w:hint="eastAsia"/>
          <w:sz w:val="30"/>
          <w:szCs w:val="30"/>
        </w:rPr>
        <w:t>书记员　苏　　　　　　　　　　　　　锐</w:t>
      </w:r>
    </w:p>
    <w:p w:rsidR="00000000" w:rsidRDefault="003B2C11">
      <w:pPr>
        <w:spacing w:line="500" w:lineRule="atLeast"/>
        <w:ind w:firstLine="600"/>
        <w:divId w:val="1549075590"/>
        <w:rPr>
          <w:rFonts w:hint="eastAsia"/>
          <w:sz w:val="30"/>
          <w:szCs w:val="30"/>
        </w:rPr>
      </w:pPr>
      <w:r>
        <w:rPr>
          <w:rFonts w:hint="eastAsia"/>
          <w:sz w:val="30"/>
          <w:szCs w:val="30"/>
        </w:rPr>
        <w:t>?</w:t>
      </w:r>
    </w:p>
    <w:p w:rsidR="00000000" w:rsidRDefault="003B2C11">
      <w:pPr>
        <w:spacing w:line="500" w:lineRule="atLeast"/>
        <w:ind w:firstLine="600"/>
        <w:divId w:val="361974474"/>
        <w:rPr>
          <w:rFonts w:hint="eastAsia"/>
          <w:sz w:val="30"/>
          <w:szCs w:val="30"/>
        </w:rPr>
      </w:pPr>
      <w:r>
        <w:rPr>
          <w:rFonts w:hint="eastAsia"/>
          <w:sz w:val="30"/>
          <w:szCs w:val="30"/>
        </w:rPr>
        <w:t>附：法律条文</w:t>
      </w:r>
    </w:p>
    <w:p w:rsidR="00000000" w:rsidRDefault="003B2C11">
      <w:pPr>
        <w:spacing w:line="500" w:lineRule="atLeast"/>
        <w:ind w:firstLine="600"/>
        <w:divId w:val="1059746597"/>
        <w:rPr>
          <w:rFonts w:hint="eastAsia"/>
          <w:sz w:val="30"/>
          <w:szCs w:val="30"/>
        </w:rPr>
      </w:pPr>
      <w:r>
        <w:rPr>
          <w:rFonts w:hint="eastAsia"/>
          <w:sz w:val="30"/>
          <w:szCs w:val="30"/>
        </w:rPr>
        <w:t>《中华人民共和国民事诉讼法》第一百七十七条规定</w:t>
      </w:r>
    </w:p>
    <w:p w:rsidR="00000000" w:rsidRDefault="003B2C11">
      <w:pPr>
        <w:spacing w:line="500" w:lineRule="atLeast"/>
        <w:ind w:firstLine="600"/>
        <w:divId w:val="180972248"/>
        <w:rPr>
          <w:rFonts w:hint="eastAsia"/>
          <w:sz w:val="30"/>
          <w:szCs w:val="30"/>
        </w:rPr>
      </w:pPr>
      <w:r>
        <w:rPr>
          <w:rFonts w:hint="eastAsia"/>
          <w:sz w:val="30"/>
          <w:szCs w:val="30"/>
        </w:rPr>
        <w:t>第二审人民法院对上诉案件，经过审理，按照下列情形，分别处理：</w:t>
      </w:r>
    </w:p>
    <w:p w:rsidR="00000000" w:rsidRDefault="003B2C11">
      <w:pPr>
        <w:spacing w:line="500" w:lineRule="atLeast"/>
        <w:ind w:firstLine="600"/>
        <w:divId w:val="1966036103"/>
        <w:rPr>
          <w:rFonts w:hint="eastAsia"/>
          <w:sz w:val="30"/>
          <w:szCs w:val="30"/>
        </w:rPr>
      </w:pPr>
      <w:r>
        <w:rPr>
          <w:rFonts w:hint="eastAsia"/>
          <w:sz w:val="30"/>
          <w:szCs w:val="30"/>
        </w:rPr>
        <w:t>（一）原判决、裁定认定事实清楚，适用法律正确的，以判决、裁定方式驳回上诉，维持原判决、裁定；</w:t>
      </w:r>
    </w:p>
    <w:p w:rsidR="00000000" w:rsidRDefault="003B2C11">
      <w:pPr>
        <w:spacing w:line="500" w:lineRule="atLeast"/>
        <w:ind w:firstLine="600"/>
        <w:divId w:val="1357121310"/>
        <w:rPr>
          <w:rFonts w:hint="eastAsia"/>
          <w:sz w:val="30"/>
          <w:szCs w:val="30"/>
        </w:rPr>
      </w:pPr>
      <w:r>
        <w:rPr>
          <w:rFonts w:hint="eastAsia"/>
          <w:sz w:val="30"/>
          <w:szCs w:val="30"/>
        </w:rPr>
        <w:t>（二）原判决、裁定认定事实错误或者适用法律错误的，以判决、裁定方式依法改判、撤销或者变更；</w:t>
      </w:r>
    </w:p>
    <w:p w:rsidR="00000000" w:rsidRDefault="003B2C11">
      <w:pPr>
        <w:spacing w:line="500" w:lineRule="atLeast"/>
        <w:ind w:firstLine="600"/>
        <w:divId w:val="518617263"/>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3B2C11">
      <w:pPr>
        <w:spacing w:line="500" w:lineRule="atLeast"/>
        <w:ind w:firstLine="600"/>
        <w:divId w:val="1930002181"/>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3B2C11">
      <w:pPr>
        <w:spacing w:line="500" w:lineRule="atLeast"/>
        <w:ind w:firstLine="600"/>
        <w:divId w:val="420420656"/>
        <w:rPr>
          <w:rFonts w:hint="eastAsia"/>
          <w:sz w:val="30"/>
          <w:szCs w:val="30"/>
        </w:rPr>
      </w:pPr>
      <w:r>
        <w:rPr>
          <w:rFonts w:hint="eastAsia"/>
          <w:sz w:val="30"/>
          <w:szCs w:val="30"/>
        </w:rPr>
        <w:t>原审人民法院对发回重审的案件作出判决后，当事人提起上诉的，第二审人民法院不得再次发回重审。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C11" w:rsidRDefault="003B2C11" w:rsidP="003B2C11">
      <w:r>
        <w:separator/>
      </w:r>
    </w:p>
  </w:endnote>
  <w:endnote w:type="continuationSeparator" w:id="0">
    <w:p w:rsidR="003B2C11" w:rsidRDefault="003B2C11" w:rsidP="003B2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C11" w:rsidRDefault="003B2C11" w:rsidP="003B2C11">
      <w:r>
        <w:separator/>
      </w:r>
    </w:p>
  </w:footnote>
  <w:footnote w:type="continuationSeparator" w:id="0">
    <w:p w:rsidR="003B2C11" w:rsidRDefault="003B2C11" w:rsidP="003B2C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B2C11"/>
    <w:rsid w:val="003B2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B2C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2C11"/>
    <w:rPr>
      <w:rFonts w:ascii="宋体" w:eastAsia="宋体" w:hAnsi="宋体" w:cs="宋体"/>
      <w:sz w:val="18"/>
      <w:szCs w:val="18"/>
    </w:rPr>
  </w:style>
  <w:style w:type="paragraph" w:styleId="a5">
    <w:name w:val="footer"/>
    <w:basedOn w:val="a"/>
    <w:link w:val="a6"/>
    <w:uiPriority w:val="99"/>
    <w:unhideWhenUsed/>
    <w:rsid w:val="003B2C11"/>
    <w:pPr>
      <w:tabs>
        <w:tab w:val="center" w:pos="4153"/>
        <w:tab w:val="right" w:pos="8306"/>
      </w:tabs>
      <w:snapToGrid w:val="0"/>
    </w:pPr>
    <w:rPr>
      <w:sz w:val="18"/>
      <w:szCs w:val="18"/>
    </w:rPr>
  </w:style>
  <w:style w:type="character" w:customStyle="1" w:styleId="a6">
    <w:name w:val="页脚 字符"/>
    <w:basedOn w:val="a0"/>
    <w:link w:val="a5"/>
    <w:uiPriority w:val="99"/>
    <w:rsid w:val="003B2C1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5264">
      <w:marLeft w:val="0"/>
      <w:marRight w:val="0"/>
      <w:marTop w:val="10"/>
      <w:marBottom w:val="10"/>
      <w:divBdr>
        <w:top w:val="none" w:sz="0" w:space="0" w:color="auto"/>
        <w:left w:val="none" w:sz="0" w:space="0" w:color="auto"/>
        <w:bottom w:val="none" w:sz="0" w:space="0" w:color="auto"/>
        <w:right w:val="none" w:sz="0" w:space="0" w:color="auto"/>
      </w:divBdr>
    </w:div>
    <w:div w:id="76368883">
      <w:marLeft w:val="0"/>
      <w:marRight w:val="0"/>
      <w:marTop w:val="10"/>
      <w:marBottom w:val="10"/>
      <w:divBdr>
        <w:top w:val="none" w:sz="0" w:space="0" w:color="auto"/>
        <w:left w:val="none" w:sz="0" w:space="0" w:color="auto"/>
        <w:bottom w:val="none" w:sz="0" w:space="0" w:color="auto"/>
        <w:right w:val="none" w:sz="0" w:space="0" w:color="auto"/>
      </w:divBdr>
    </w:div>
    <w:div w:id="180972248">
      <w:marLeft w:val="0"/>
      <w:marRight w:val="0"/>
      <w:marTop w:val="10"/>
      <w:marBottom w:val="10"/>
      <w:divBdr>
        <w:top w:val="none" w:sz="0" w:space="0" w:color="auto"/>
        <w:left w:val="none" w:sz="0" w:space="0" w:color="auto"/>
        <w:bottom w:val="none" w:sz="0" w:space="0" w:color="auto"/>
        <w:right w:val="none" w:sz="0" w:space="0" w:color="auto"/>
      </w:divBdr>
    </w:div>
    <w:div w:id="338703377">
      <w:marLeft w:val="0"/>
      <w:marRight w:val="0"/>
      <w:marTop w:val="10"/>
      <w:marBottom w:val="10"/>
      <w:divBdr>
        <w:top w:val="none" w:sz="0" w:space="0" w:color="auto"/>
        <w:left w:val="none" w:sz="0" w:space="0" w:color="auto"/>
        <w:bottom w:val="none" w:sz="0" w:space="0" w:color="auto"/>
        <w:right w:val="none" w:sz="0" w:space="0" w:color="auto"/>
      </w:divBdr>
    </w:div>
    <w:div w:id="361974474">
      <w:marLeft w:val="0"/>
      <w:marRight w:val="0"/>
      <w:marTop w:val="10"/>
      <w:marBottom w:val="10"/>
      <w:divBdr>
        <w:top w:val="none" w:sz="0" w:space="0" w:color="auto"/>
        <w:left w:val="none" w:sz="0" w:space="0" w:color="auto"/>
        <w:bottom w:val="none" w:sz="0" w:space="0" w:color="auto"/>
        <w:right w:val="none" w:sz="0" w:space="0" w:color="auto"/>
      </w:divBdr>
    </w:div>
    <w:div w:id="420420656">
      <w:marLeft w:val="0"/>
      <w:marRight w:val="0"/>
      <w:marTop w:val="10"/>
      <w:marBottom w:val="10"/>
      <w:divBdr>
        <w:top w:val="none" w:sz="0" w:space="0" w:color="auto"/>
        <w:left w:val="none" w:sz="0" w:space="0" w:color="auto"/>
        <w:bottom w:val="none" w:sz="0" w:space="0" w:color="auto"/>
        <w:right w:val="none" w:sz="0" w:space="0" w:color="auto"/>
      </w:divBdr>
    </w:div>
    <w:div w:id="493568653">
      <w:marLeft w:val="0"/>
      <w:marRight w:val="0"/>
      <w:marTop w:val="10"/>
      <w:marBottom w:val="10"/>
      <w:divBdr>
        <w:top w:val="none" w:sz="0" w:space="0" w:color="auto"/>
        <w:left w:val="none" w:sz="0" w:space="0" w:color="auto"/>
        <w:bottom w:val="none" w:sz="0" w:space="0" w:color="auto"/>
        <w:right w:val="none" w:sz="0" w:space="0" w:color="auto"/>
      </w:divBdr>
    </w:div>
    <w:div w:id="518617263">
      <w:marLeft w:val="0"/>
      <w:marRight w:val="0"/>
      <w:marTop w:val="10"/>
      <w:marBottom w:val="10"/>
      <w:divBdr>
        <w:top w:val="none" w:sz="0" w:space="0" w:color="auto"/>
        <w:left w:val="none" w:sz="0" w:space="0" w:color="auto"/>
        <w:bottom w:val="none" w:sz="0" w:space="0" w:color="auto"/>
        <w:right w:val="none" w:sz="0" w:space="0" w:color="auto"/>
      </w:divBdr>
    </w:div>
    <w:div w:id="616983795">
      <w:marLeft w:val="0"/>
      <w:marRight w:val="0"/>
      <w:marTop w:val="10"/>
      <w:marBottom w:val="10"/>
      <w:divBdr>
        <w:top w:val="none" w:sz="0" w:space="0" w:color="auto"/>
        <w:left w:val="none" w:sz="0" w:space="0" w:color="auto"/>
        <w:bottom w:val="none" w:sz="0" w:space="0" w:color="auto"/>
        <w:right w:val="none" w:sz="0" w:space="0" w:color="auto"/>
      </w:divBdr>
    </w:div>
    <w:div w:id="682246287">
      <w:marLeft w:val="0"/>
      <w:marRight w:val="720"/>
      <w:marTop w:val="10"/>
      <w:marBottom w:val="10"/>
      <w:divBdr>
        <w:top w:val="none" w:sz="0" w:space="0" w:color="auto"/>
        <w:left w:val="none" w:sz="0" w:space="0" w:color="auto"/>
        <w:bottom w:val="none" w:sz="0" w:space="0" w:color="auto"/>
        <w:right w:val="none" w:sz="0" w:space="0" w:color="auto"/>
      </w:divBdr>
    </w:div>
    <w:div w:id="700592340">
      <w:marLeft w:val="0"/>
      <w:marRight w:val="720"/>
      <w:marTop w:val="10"/>
      <w:marBottom w:val="10"/>
      <w:divBdr>
        <w:top w:val="none" w:sz="0" w:space="0" w:color="auto"/>
        <w:left w:val="none" w:sz="0" w:space="0" w:color="auto"/>
        <w:bottom w:val="none" w:sz="0" w:space="0" w:color="auto"/>
        <w:right w:val="none" w:sz="0" w:space="0" w:color="auto"/>
      </w:divBdr>
    </w:div>
    <w:div w:id="791047705">
      <w:marLeft w:val="0"/>
      <w:marRight w:val="0"/>
      <w:marTop w:val="10"/>
      <w:marBottom w:val="10"/>
      <w:divBdr>
        <w:top w:val="none" w:sz="0" w:space="0" w:color="auto"/>
        <w:left w:val="none" w:sz="0" w:space="0" w:color="auto"/>
        <w:bottom w:val="none" w:sz="0" w:space="0" w:color="auto"/>
        <w:right w:val="none" w:sz="0" w:space="0" w:color="auto"/>
      </w:divBdr>
    </w:div>
    <w:div w:id="829442175">
      <w:marLeft w:val="0"/>
      <w:marRight w:val="0"/>
      <w:marTop w:val="10"/>
      <w:marBottom w:val="10"/>
      <w:divBdr>
        <w:top w:val="none" w:sz="0" w:space="0" w:color="auto"/>
        <w:left w:val="none" w:sz="0" w:space="0" w:color="auto"/>
        <w:bottom w:val="none" w:sz="0" w:space="0" w:color="auto"/>
        <w:right w:val="none" w:sz="0" w:space="0" w:color="auto"/>
      </w:divBdr>
    </w:div>
    <w:div w:id="948898517">
      <w:marLeft w:val="0"/>
      <w:marRight w:val="0"/>
      <w:marTop w:val="10"/>
      <w:marBottom w:val="10"/>
      <w:divBdr>
        <w:top w:val="none" w:sz="0" w:space="0" w:color="auto"/>
        <w:left w:val="none" w:sz="0" w:space="0" w:color="auto"/>
        <w:bottom w:val="none" w:sz="0" w:space="0" w:color="auto"/>
        <w:right w:val="none" w:sz="0" w:space="0" w:color="auto"/>
      </w:divBdr>
    </w:div>
    <w:div w:id="989404494">
      <w:marLeft w:val="0"/>
      <w:marRight w:val="0"/>
      <w:marTop w:val="10"/>
      <w:marBottom w:val="10"/>
      <w:divBdr>
        <w:top w:val="none" w:sz="0" w:space="0" w:color="auto"/>
        <w:left w:val="none" w:sz="0" w:space="0" w:color="auto"/>
        <w:bottom w:val="none" w:sz="0" w:space="0" w:color="auto"/>
        <w:right w:val="none" w:sz="0" w:space="0" w:color="auto"/>
      </w:divBdr>
    </w:div>
    <w:div w:id="1059746597">
      <w:marLeft w:val="0"/>
      <w:marRight w:val="0"/>
      <w:marTop w:val="10"/>
      <w:marBottom w:val="10"/>
      <w:divBdr>
        <w:top w:val="none" w:sz="0" w:space="0" w:color="auto"/>
        <w:left w:val="none" w:sz="0" w:space="0" w:color="auto"/>
        <w:bottom w:val="none" w:sz="0" w:space="0" w:color="auto"/>
        <w:right w:val="none" w:sz="0" w:space="0" w:color="auto"/>
      </w:divBdr>
    </w:div>
    <w:div w:id="1196039565">
      <w:marLeft w:val="0"/>
      <w:marRight w:val="0"/>
      <w:marTop w:val="10"/>
      <w:marBottom w:val="10"/>
      <w:divBdr>
        <w:top w:val="none" w:sz="0" w:space="0" w:color="auto"/>
        <w:left w:val="none" w:sz="0" w:space="0" w:color="auto"/>
        <w:bottom w:val="none" w:sz="0" w:space="0" w:color="auto"/>
        <w:right w:val="none" w:sz="0" w:space="0" w:color="auto"/>
      </w:divBdr>
    </w:div>
    <w:div w:id="1205291955">
      <w:marLeft w:val="0"/>
      <w:marRight w:val="720"/>
      <w:marTop w:val="10"/>
      <w:marBottom w:val="10"/>
      <w:divBdr>
        <w:top w:val="none" w:sz="0" w:space="0" w:color="auto"/>
        <w:left w:val="none" w:sz="0" w:space="0" w:color="auto"/>
        <w:bottom w:val="none" w:sz="0" w:space="0" w:color="auto"/>
        <w:right w:val="none" w:sz="0" w:space="0" w:color="auto"/>
      </w:divBdr>
    </w:div>
    <w:div w:id="1310404803">
      <w:marLeft w:val="0"/>
      <w:marRight w:val="0"/>
      <w:marTop w:val="10"/>
      <w:marBottom w:val="10"/>
      <w:divBdr>
        <w:top w:val="none" w:sz="0" w:space="0" w:color="auto"/>
        <w:left w:val="none" w:sz="0" w:space="0" w:color="auto"/>
        <w:bottom w:val="none" w:sz="0" w:space="0" w:color="auto"/>
        <w:right w:val="none" w:sz="0" w:space="0" w:color="auto"/>
      </w:divBdr>
    </w:div>
    <w:div w:id="1357121310">
      <w:marLeft w:val="0"/>
      <w:marRight w:val="0"/>
      <w:marTop w:val="10"/>
      <w:marBottom w:val="10"/>
      <w:divBdr>
        <w:top w:val="none" w:sz="0" w:space="0" w:color="auto"/>
        <w:left w:val="none" w:sz="0" w:space="0" w:color="auto"/>
        <w:bottom w:val="none" w:sz="0" w:space="0" w:color="auto"/>
        <w:right w:val="none" w:sz="0" w:space="0" w:color="auto"/>
      </w:divBdr>
    </w:div>
    <w:div w:id="1509904268">
      <w:marLeft w:val="0"/>
      <w:marRight w:val="0"/>
      <w:marTop w:val="10"/>
      <w:marBottom w:val="10"/>
      <w:divBdr>
        <w:top w:val="none" w:sz="0" w:space="0" w:color="auto"/>
        <w:left w:val="none" w:sz="0" w:space="0" w:color="auto"/>
        <w:bottom w:val="none" w:sz="0" w:space="0" w:color="auto"/>
        <w:right w:val="none" w:sz="0" w:space="0" w:color="auto"/>
      </w:divBdr>
    </w:div>
    <w:div w:id="1527910270">
      <w:marLeft w:val="0"/>
      <w:marRight w:val="0"/>
      <w:marTop w:val="10"/>
      <w:marBottom w:val="10"/>
      <w:divBdr>
        <w:top w:val="none" w:sz="0" w:space="0" w:color="auto"/>
        <w:left w:val="none" w:sz="0" w:space="0" w:color="auto"/>
        <w:bottom w:val="none" w:sz="0" w:space="0" w:color="auto"/>
        <w:right w:val="none" w:sz="0" w:space="0" w:color="auto"/>
      </w:divBdr>
    </w:div>
    <w:div w:id="1549075590">
      <w:marLeft w:val="0"/>
      <w:marRight w:val="0"/>
      <w:marTop w:val="10"/>
      <w:marBottom w:val="10"/>
      <w:divBdr>
        <w:top w:val="none" w:sz="0" w:space="0" w:color="auto"/>
        <w:left w:val="none" w:sz="0" w:space="0" w:color="auto"/>
        <w:bottom w:val="none" w:sz="0" w:space="0" w:color="auto"/>
        <w:right w:val="none" w:sz="0" w:space="0" w:color="auto"/>
      </w:divBdr>
    </w:div>
    <w:div w:id="1618172781">
      <w:marLeft w:val="0"/>
      <w:marRight w:val="0"/>
      <w:marTop w:val="10"/>
      <w:marBottom w:val="10"/>
      <w:divBdr>
        <w:top w:val="none" w:sz="0" w:space="0" w:color="auto"/>
        <w:left w:val="none" w:sz="0" w:space="0" w:color="auto"/>
        <w:bottom w:val="none" w:sz="0" w:space="0" w:color="auto"/>
        <w:right w:val="none" w:sz="0" w:space="0" w:color="auto"/>
      </w:divBdr>
    </w:div>
    <w:div w:id="1633949244">
      <w:marLeft w:val="0"/>
      <w:marRight w:val="0"/>
      <w:marTop w:val="10"/>
      <w:marBottom w:val="10"/>
      <w:divBdr>
        <w:top w:val="none" w:sz="0" w:space="0" w:color="auto"/>
        <w:left w:val="none" w:sz="0" w:space="0" w:color="auto"/>
        <w:bottom w:val="none" w:sz="0" w:space="0" w:color="auto"/>
        <w:right w:val="none" w:sz="0" w:space="0" w:color="auto"/>
      </w:divBdr>
    </w:div>
    <w:div w:id="1774398299">
      <w:marLeft w:val="0"/>
      <w:marRight w:val="0"/>
      <w:marTop w:val="10"/>
      <w:marBottom w:val="10"/>
      <w:divBdr>
        <w:top w:val="none" w:sz="0" w:space="0" w:color="auto"/>
        <w:left w:val="none" w:sz="0" w:space="0" w:color="auto"/>
        <w:bottom w:val="none" w:sz="0" w:space="0" w:color="auto"/>
        <w:right w:val="none" w:sz="0" w:space="0" w:color="auto"/>
      </w:divBdr>
    </w:div>
    <w:div w:id="1814448125">
      <w:marLeft w:val="0"/>
      <w:marRight w:val="0"/>
      <w:marTop w:val="10"/>
      <w:marBottom w:val="10"/>
      <w:divBdr>
        <w:top w:val="none" w:sz="0" w:space="0" w:color="auto"/>
        <w:left w:val="none" w:sz="0" w:space="0" w:color="auto"/>
        <w:bottom w:val="none" w:sz="0" w:space="0" w:color="auto"/>
        <w:right w:val="none" w:sz="0" w:space="0" w:color="auto"/>
      </w:divBdr>
    </w:div>
    <w:div w:id="1930002181">
      <w:marLeft w:val="0"/>
      <w:marRight w:val="0"/>
      <w:marTop w:val="10"/>
      <w:marBottom w:val="10"/>
      <w:divBdr>
        <w:top w:val="none" w:sz="0" w:space="0" w:color="auto"/>
        <w:left w:val="none" w:sz="0" w:space="0" w:color="auto"/>
        <w:bottom w:val="none" w:sz="0" w:space="0" w:color="auto"/>
        <w:right w:val="none" w:sz="0" w:space="0" w:color="auto"/>
      </w:divBdr>
    </w:div>
    <w:div w:id="1966036103">
      <w:marLeft w:val="0"/>
      <w:marRight w:val="0"/>
      <w:marTop w:val="10"/>
      <w:marBottom w:val="10"/>
      <w:divBdr>
        <w:top w:val="none" w:sz="0" w:space="0" w:color="auto"/>
        <w:left w:val="none" w:sz="0" w:space="0" w:color="auto"/>
        <w:bottom w:val="none" w:sz="0" w:space="0" w:color="auto"/>
        <w:right w:val="none" w:sz="0" w:space="0" w:color="auto"/>
      </w:divBdr>
    </w:div>
    <w:div w:id="213532051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