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D73AB">
      <w:pPr>
        <w:spacing w:line="500" w:lineRule="atLeast"/>
        <w:jc w:val="center"/>
        <w:divId w:val="825820565"/>
        <w:rPr>
          <w:rFonts w:ascii="黑体" w:eastAsia="黑体" w:hAnsi="黑体"/>
          <w:sz w:val="36"/>
          <w:szCs w:val="36"/>
        </w:rPr>
      </w:pPr>
      <w:bookmarkStart w:id="0" w:name="_GoBack"/>
      <w:bookmarkEnd w:id="0"/>
      <w:r>
        <w:rPr>
          <w:rFonts w:ascii="黑体" w:eastAsia="黑体" w:hAnsi="黑体" w:hint="eastAsia"/>
          <w:sz w:val="36"/>
          <w:szCs w:val="36"/>
        </w:rPr>
        <w:t>山东省高级人民法院</w:t>
      </w:r>
    </w:p>
    <w:p w:rsidR="00000000" w:rsidRDefault="000D73AB">
      <w:pPr>
        <w:spacing w:line="500" w:lineRule="atLeast"/>
        <w:jc w:val="center"/>
        <w:divId w:val="103503427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D73AB">
      <w:pPr>
        <w:spacing w:line="500" w:lineRule="atLeast"/>
        <w:jc w:val="right"/>
        <w:divId w:val="130363596"/>
        <w:rPr>
          <w:rFonts w:hint="eastAsia"/>
          <w:sz w:val="30"/>
          <w:szCs w:val="30"/>
        </w:rPr>
      </w:pPr>
      <w:r>
        <w:rPr>
          <w:rFonts w:hint="eastAsia"/>
          <w:sz w:val="30"/>
          <w:szCs w:val="30"/>
        </w:rPr>
        <w:t>（</w:t>
      </w:r>
      <w:r>
        <w:rPr>
          <w:rFonts w:hint="eastAsia"/>
          <w:sz w:val="30"/>
          <w:szCs w:val="30"/>
        </w:rPr>
        <w:t>2019</w:t>
      </w:r>
      <w:r>
        <w:rPr>
          <w:rFonts w:hint="eastAsia"/>
          <w:sz w:val="30"/>
          <w:szCs w:val="30"/>
        </w:rPr>
        <w:t>）鲁民申</w:t>
      </w:r>
      <w:r>
        <w:rPr>
          <w:rFonts w:hint="eastAsia"/>
          <w:sz w:val="30"/>
          <w:szCs w:val="30"/>
        </w:rPr>
        <w:t>3744</w:t>
      </w:r>
      <w:r>
        <w:rPr>
          <w:rFonts w:hint="eastAsia"/>
          <w:sz w:val="30"/>
          <w:szCs w:val="30"/>
        </w:rPr>
        <w:t>号</w:t>
      </w:r>
    </w:p>
    <w:p w:rsidR="00000000" w:rsidRDefault="000D73AB">
      <w:pPr>
        <w:spacing w:line="500" w:lineRule="atLeast"/>
        <w:ind w:firstLine="600"/>
        <w:divId w:val="314334301"/>
        <w:rPr>
          <w:rFonts w:hint="eastAsia"/>
          <w:sz w:val="30"/>
          <w:szCs w:val="30"/>
        </w:rPr>
      </w:pPr>
      <w:r>
        <w:rPr>
          <w:rFonts w:hint="eastAsia"/>
          <w:sz w:val="30"/>
          <w:szCs w:val="30"/>
        </w:rPr>
        <w:t>再审申请人（一审原告、二审上诉人）：尹秀娟，女，</w:t>
      </w:r>
      <w:r>
        <w:rPr>
          <w:rFonts w:hint="eastAsia"/>
          <w:sz w:val="30"/>
          <w:szCs w:val="30"/>
        </w:rPr>
        <w:t>1974</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日出生，汉族，住潍坊市。</w:t>
      </w:r>
    </w:p>
    <w:p w:rsidR="00000000" w:rsidRDefault="000D73AB">
      <w:pPr>
        <w:spacing w:line="500" w:lineRule="atLeast"/>
        <w:ind w:firstLine="600"/>
        <w:divId w:val="1864202144"/>
        <w:rPr>
          <w:rFonts w:hint="eastAsia"/>
          <w:sz w:val="30"/>
          <w:szCs w:val="30"/>
        </w:rPr>
      </w:pPr>
      <w:r>
        <w:rPr>
          <w:rFonts w:hint="eastAsia"/>
          <w:sz w:val="30"/>
          <w:szCs w:val="30"/>
        </w:rPr>
        <w:t>被申请人（一审被告、二审被上诉人）：安丘市人民医院，住所地安丘市健康路</w:t>
      </w:r>
      <w:r>
        <w:rPr>
          <w:rFonts w:hint="eastAsia"/>
          <w:sz w:val="30"/>
          <w:szCs w:val="30"/>
        </w:rPr>
        <w:t>246</w:t>
      </w:r>
      <w:r>
        <w:rPr>
          <w:rFonts w:hint="eastAsia"/>
          <w:sz w:val="30"/>
          <w:szCs w:val="30"/>
        </w:rPr>
        <w:t>号。</w:t>
      </w:r>
    </w:p>
    <w:p w:rsidR="00000000" w:rsidRDefault="000D73AB">
      <w:pPr>
        <w:spacing w:line="500" w:lineRule="atLeast"/>
        <w:ind w:firstLine="600"/>
        <w:divId w:val="1634211527"/>
        <w:rPr>
          <w:rFonts w:hint="eastAsia"/>
          <w:sz w:val="30"/>
          <w:szCs w:val="30"/>
        </w:rPr>
      </w:pPr>
      <w:r>
        <w:rPr>
          <w:rFonts w:hint="eastAsia"/>
          <w:sz w:val="30"/>
          <w:szCs w:val="30"/>
        </w:rPr>
        <w:t>法定代表人：席敦升，院长。</w:t>
      </w:r>
    </w:p>
    <w:p w:rsidR="00000000" w:rsidRDefault="000D73AB">
      <w:pPr>
        <w:spacing w:line="500" w:lineRule="atLeast"/>
        <w:ind w:firstLine="600"/>
        <w:divId w:val="1740202369"/>
        <w:rPr>
          <w:rFonts w:hint="eastAsia"/>
          <w:sz w:val="30"/>
          <w:szCs w:val="30"/>
        </w:rPr>
      </w:pPr>
      <w:r>
        <w:rPr>
          <w:rFonts w:hint="eastAsia"/>
          <w:sz w:val="30"/>
          <w:szCs w:val="30"/>
        </w:rPr>
        <w:t>一审原告：尹钦伦，男，</w:t>
      </w:r>
      <w:r>
        <w:rPr>
          <w:rFonts w:hint="eastAsia"/>
          <w:sz w:val="30"/>
          <w:szCs w:val="30"/>
        </w:rPr>
        <w:t>1978</w:t>
      </w:r>
      <w:r>
        <w:rPr>
          <w:rFonts w:hint="eastAsia"/>
          <w:sz w:val="30"/>
          <w:szCs w:val="30"/>
        </w:rPr>
        <w:t>年</w:t>
      </w:r>
      <w:r>
        <w:rPr>
          <w:rFonts w:hint="eastAsia"/>
          <w:sz w:val="30"/>
          <w:szCs w:val="30"/>
        </w:rPr>
        <w:t>10</w:t>
      </w:r>
      <w:r>
        <w:rPr>
          <w:rFonts w:hint="eastAsia"/>
          <w:sz w:val="30"/>
          <w:szCs w:val="30"/>
        </w:rPr>
        <w:t>月</w:t>
      </w:r>
      <w:r>
        <w:rPr>
          <w:rFonts w:hint="eastAsia"/>
          <w:sz w:val="30"/>
          <w:szCs w:val="30"/>
        </w:rPr>
        <w:t>4</w:t>
      </w:r>
      <w:r>
        <w:rPr>
          <w:rFonts w:hint="eastAsia"/>
          <w:sz w:val="30"/>
          <w:szCs w:val="30"/>
        </w:rPr>
        <w:t>日出生，汉族，住潍坊市峡山生态经济发展区。</w:t>
      </w:r>
    </w:p>
    <w:p w:rsidR="00000000" w:rsidRDefault="000D73AB">
      <w:pPr>
        <w:spacing w:line="500" w:lineRule="atLeast"/>
        <w:ind w:firstLine="600"/>
        <w:divId w:val="1200556106"/>
        <w:rPr>
          <w:rFonts w:hint="eastAsia"/>
          <w:sz w:val="30"/>
          <w:szCs w:val="30"/>
        </w:rPr>
      </w:pPr>
      <w:r>
        <w:rPr>
          <w:rFonts w:hint="eastAsia"/>
          <w:sz w:val="30"/>
          <w:szCs w:val="30"/>
        </w:rPr>
        <w:t>再审申请人尹秀娟因与被申请人安丘市人民医院、一审原告尹钦伦医疗损害责任纠纷一案，不服山东省潍坊市中级人民法院（</w:t>
      </w:r>
      <w:r>
        <w:rPr>
          <w:rFonts w:hint="eastAsia"/>
          <w:sz w:val="30"/>
          <w:szCs w:val="30"/>
        </w:rPr>
        <w:t>2017</w:t>
      </w:r>
      <w:r>
        <w:rPr>
          <w:rFonts w:hint="eastAsia"/>
          <w:sz w:val="30"/>
          <w:szCs w:val="30"/>
        </w:rPr>
        <w:t>）鲁</w:t>
      </w:r>
      <w:r>
        <w:rPr>
          <w:rFonts w:hint="eastAsia"/>
          <w:sz w:val="30"/>
          <w:szCs w:val="30"/>
        </w:rPr>
        <w:t>07</w:t>
      </w:r>
      <w:r>
        <w:rPr>
          <w:rFonts w:hint="eastAsia"/>
          <w:sz w:val="30"/>
          <w:szCs w:val="30"/>
        </w:rPr>
        <w:t>民终</w:t>
      </w:r>
      <w:r>
        <w:rPr>
          <w:rFonts w:hint="eastAsia"/>
          <w:sz w:val="30"/>
          <w:szCs w:val="30"/>
        </w:rPr>
        <w:t>5843</w:t>
      </w:r>
      <w:r>
        <w:rPr>
          <w:rFonts w:hint="eastAsia"/>
          <w:sz w:val="30"/>
          <w:szCs w:val="30"/>
        </w:rPr>
        <w:t>号民事判决，向本院申请再审。本院依法组成合议庭对本案进行了审查，现已审查终结。</w:t>
      </w:r>
    </w:p>
    <w:p w:rsidR="00000000" w:rsidRDefault="000D73AB">
      <w:pPr>
        <w:spacing w:line="500" w:lineRule="atLeast"/>
        <w:ind w:firstLine="600"/>
        <w:divId w:val="191383190"/>
        <w:rPr>
          <w:rFonts w:hint="eastAsia"/>
          <w:sz w:val="30"/>
          <w:szCs w:val="30"/>
        </w:rPr>
      </w:pPr>
      <w:r>
        <w:rPr>
          <w:rFonts w:hint="eastAsia"/>
          <w:sz w:val="30"/>
          <w:szCs w:val="30"/>
        </w:rPr>
        <w:t>尹秀娟申请再审称，原审法院认定事实缺乏证据证明。</w:t>
      </w:r>
      <w:r>
        <w:rPr>
          <w:rFonts w:hint="eastAsia"/>
          <w:sz w:val="30"/>
          <w:szCs w:val="30"/>
        </w:rPr>
        <w:t>1.</w:t>
      </w:r>
      <w:r>
        <w:rPr>
          <w:rFonts w:hint="eastAsia"/>
          <w:sz w:val="30"/>
          <w:szCs w:val="30"/>
        </w:rPr>
        <w:t>被申请人提供的证据仅能证明进行了钡餐检查，其他诊疗行为没有证据证明。</w:t>
      </w:r>
      <w:r>
        <w:rPr>
          <w:rFonts w:hint="eastAsia"/>
          <w:sz w:val="30"/>
          <w:szCs w:val="30"/>
        </w:rPr>
        <w:t>2.</w:t>
      </w:r>
      <w:r>
        <w:rPr>
          <w:rFonts w:hint="eastAsia"/>
          <w:sz w:val="30"/>
          <w:szCs w:val="30"/>
        </w:rPr>
        <w:t>被申请人未记载门诊病历，其进行了除钡餐检查之外的其他诊疗行为，不能认定其行为符合诊疗规范，原审认定被申请人治疗符合规范证据不足。</w:t>
      </w:r>
      <w:r>
        <w:rPr>
          <w:rFonts w:hint="eastAsia"/>
          <w:sz w:val="30"/>
          <w:szCs w:val="30"/>
        </w:rPr>
        <w:t>3.</w:t>
      </w:r>
      <w:r>
        <w:rPr>
          <w:rFonts w:hint="eastAsia"/>
          <w:sz w:val="30"/>
          <w:szCs w:val="30"/>
        </w:rPr>
        <w:t>被申请人对尹宗义的首次诊疗不符合基本的</w:t>
      </w:r>
      <w:r>
        <w:rPr>
          <w:rFonts w:hint="eastAsia"/>
          <w:sz w:val="30"/>
          <w:szCs w:val="30"/>
        </w:rPr>
        <w:t>诊疗规范，其采用了误诊率最高的普通钡餐检查方式，没有采用效果最好的电子胃镜或气钡双重对比造影检查，未安排患者进行</w:t>
      </w:r>
      <w:r>
        <w:rPr>
          <w:rFonts w:hint="eastAsia"/>
          <w:sz w:val="30"/>
          <w:szCs w:val="30"/>
        </w:rPr>
        <w:t>CT</w:t>
      </w:r>
      <w:r>
        <w:rPr>
          <w:rFonts w:hint="eastAsia"/>
          <w:sz w:val="30"/>
          <w:szCs w:val="30"/>
        </w:rPr>
        <w:t>或</w:t>
      </w:r>
      <w:r>
        <w:rPr>
          <w:rFonts w:hint="eastAsia"/>
          <w:sz w:val="30"/>
          <w:szCs w:val="30"/>
        </w:rPr>
        <w:t>B</w:t>
      </w:r>
      <w:r>
        <w:rPr>
          <w:rFonts w:hint="eastAsia"/>
          <w:sz w:val="30"/>
          <w:szCs w:val="30"/>
        </w:rPr>
        <w:t>超检查。</w:t>
      </w:r>
      <w:r>
        <w:rPr>
          <w:rFonts w:hint="eastAsia"/>
          <w:sz w:val="30"/>
          <w:szCs w:val="30"/>
        </w:rPr>
        <w:t>4.</w:t>
      </w:r>
      <w:r>
        <w:rPr>
          <w:rFonts w:hint="eastAsia"/>
          <w:sz w:val="30"/>
          <w:szCs w:val="30"/>
        </w:rPr>
        <w:t>不能拿“低分化胃癌具有发展快、转移早的特点”反推个体病程，以此完全排除被申请人责任，医疗事故技术鉴定书表述过于绝对，不符合科学逻辑，患者第一次就诊时存在胃部恶性肿瘤的可能性难以排除。</w:t>
      </w:r>
      <w:r>
        <w:rPr>
          <w:rFonts w:hint="eastAsia"/>
          <w:sz w:val="30"/>
          <w:szCs w:val="30"/>
        </w:rPr>
        <w:t>5.</w:t>
      </w:r>
      <w:r>
        <w:rPr>
          <w:rFonts w:hint="eastAsia"/>
          <w:sz w:val="30"/>
          <w:szCs w:val="30"/>
        </w:rPr>
        <w:t>被申请人未尽到一般告知义务，未告知患者进行复诊复查，导致患者丧失早期治疗的机会。</w:t>
      </w:r>
      <w:r>
        <w:rPr>
          <w:rFonts w:hint="eastAsia"/>
          <w:sz w:val="30"/>
          <w:szCs w:val="30"/>
        </w:rPr>
        <w:t>6.</w:t>
      </w:r>
      <w:r>
        <w:rPr>
          <w:rFonts w:hint="eastAsia"/>
          <w:sz w:val="30"/>
          <w:szCs w:val="30"/>
        </w:rPr>
        <w:t>被申请人不记载病</w:t>
      </w:r>
      <w:r>
        <w:rPr>
          <w:rFonts w:hint="eastAsia"/>
          <w:sz w:val="30"/>
          <w:szCs w:val="30"/>
        </w:rPr>
        <w:lastRenderedPageBreak/>
        <w:t>历的行为，违反《病历书写规范》，阻碍了申请人通过医疗损害司法鉴定进行举证，原审错误将医疗行为的</w:t>
      </w:r>
      <w:r>
        <w:rPr>
          <w:rFonts w:hint="eastAsia"/>
          <w:sz w:val="30"/>
          <w:szCs w:val="30"/>
        </w:rPr>
        <w:t>证明责任分配给申请人，应由被申请人对待鉴定的医疗行为进行证明。</w:t>
      </w:r>
      <w:r>
        <w:rPr>
          <w:rFonts w:hint="eastAsia"/>
          <w:sz w:val="30"/>
          <w:szCs w:val="30"/>
        </w:rPr>
        <w:t>7.</w:t>
      </w:r>
      <w:r>
        <w:rPr>
          <w:rFonts w:hint="eastAsia"/>
          <w:sz w:val="30"/>
          <w:szCs w:val="30"/>
        </w:rPr>
        <w:t>被申请人提交的两份不构成医疗事故的医疗事故鉴定报告，系在无病历情况下作出，证据不足，其结论不能作为认定被申请人无过错的依据。依据《中华人民共和国民事诉讼法》第二百条第二项的规定申请再审。</w:t>
      </w:r>
    </w:p>
    <w:p w:rsidR="00000000" w:rsidRDefault="000D73AB">
      <w:pPr>
        <w:spacing w:line="500" w:lineRule="atLeast"/>
        <w:ind w:firstLine="600"/>
        <w:divId w:val="2007858032"/>
        <w:rPr>
          <w:rFonts w:hint="eastAsia"/>
          <w:sz w:val="30"/>
          <w:szCs w:val="30"/>
        </w:rPr>
      </w:pPr>
      <w:r>
        <w:rPr>
          <w:rFonts w:hint="eastAsia"/>
          <w:sz w:val="30"/>
          <w:szCs w:val="30"/>
        </w:rPr>
        <w:t>本院经审查认为，本案审查的焦点问题是被申请人对尹宗义的诊疗行为是否存在医疗过错。</w:t>
      </w:r>
    </w:p>
    <w:p w:rsidR="00000000" w:rsidRDefault="000D73AB">
      <w:pPr>
        <w:spacing w:line="500" w:lineRule="atLeast"/>
        <w:ind w:firstLine="600"/>
        <w:divId w:val="647632497"/>
        <w:rPr>
          <w:rFonts w:hint="eastAsia"/>
          <w:sz w:val="30"/>
          <w:szCs w:val="30"/>
        </w:rPr>
      </w:pPr>
      <w:r>
        <w:rPr>
          <w:rFonts w:hint="eastAsia"/>
          <w:sz w:val="30"/>
          <w:szCs w:val="30"/>
        </w:rPr>
        <w:t>对于申请人主张被申请人对尹宗义的诊疗行为存在医疗过错，原审错误将医疗行为的证明责任分配给申请人的申请理由。根据《中华人民共和国侵权责任法》第五十四条规定，医疗损害责任适用过错责</w:t>
      </w:r>
      <w:r>
        <w:rPr>
          <w:rFonts w:hint="eastAsia"/>
          <w:sz w:val="30"/>
          <w:szCs w:val="30"/>
        </w:rPr>
        <w:t>任原则，即由患者承担举证责任证明医疗机构存在过错以及医疗机构的过错行为与患者的损害之间存在因果关系。原审中申请人申请医疗损害过错司法鉴定，鉴定机构以鉴定材料不完整为由未予受理，对此申请人主张系被申请人不记载病历的行为阻碍了申请人通过医疗损害司法鉴定进行举证，但根据《医疗机构病历管理规定》第十条规定，门（急）诊病历原则上由患者负责保管。涉案病历材料应由申请人负责提供并承担相应法律后果，且即使被申请人存在未按诊疗规范书写病历的情形，但申请人未能提供证据证明被申请人的该项行为与尹宗义诊疗结果之间存在因果关系。在涉</w:t>
      </w:r>
      <w:r>
        <w:rPr>
          <w:rFonts w:hint="eastAsia"/>
          <w:sz w:val="30"/>
          <w:szCs w:val="30"/>
        </w:rPr>
        <w:t>案医疗损害司法鉴定因客观原因无法进行的情况下，申请人提交的证据不足以证实被申请人的诊疗行为存在过错，原审法院依据法律规定分配举证责任，认定申请人承担举证不能的法律后果，并无不当。</w:t>
      </w:r>
    </w:p>
    <w:p w:rsidR="00000000" w:rsidRDefault="000D73AB">
      <w:pPr>
        <w:spacing w:line="500" w:lineRule="atLeast"/>
        <w:ind w:firstLine="600"/>
        <w:divId w:val="1821388103"/>
        <w:rPr>
          <w:rFonts w:hint="eastAsia"/>
          <w:sz w:val="30"/>
          <w:szCs w:val="30"/>
        </w:rPr>
      </w:pPr>
      <w:r>
        <w:rPr>
          <w:rFonts w:hint="eastAsia"/>
          <w:sz w:val="30"/>
          <w:szCs w:val="30"/>
        </w:rPr>
        <w:lastRenderedPageBreak/>
        <w:t>对于申请人主张被申请人对尹宗义的首次诊疗不符合基本诊疗规范，仅采用了误诊率最高的普通钡餐检查方式，未尽到一般告知义务的申请理由。本院认为，申请人未能提交相关法律依据或者医疗规范，以证明被申请人对尹宗义应当采用电子胃镜或气钡双重对比造影检查、</w:t>
      </w:r>
      <w:r>
        <w:rPr>
          <w:rFonts w:hint="eastAsia"/>
          <w:sz w:val="30"/>
          <w:szCs w:val="30"/>
        </w:rPr>
        <w:t>CT</w:t>
      </w:r>
      <w:r>
        <w:rPr>
          <w:rFonts w:hint="eastAsia"/>
          <w:sz w:val="30"/>
          <w:szCs w:val="30"/>
        </w:rPr>
        <w:t>或</w:t>
      </w:r>
      <w:r>
        <w:rPr>
          <w:rFonts w:hint="eastAsia"/>
          <w:sz w:val="30"/>
          <w:szCs w:val="30"/>
        </w:rPr>
        <w:t>B</w:t>
      </w:r>
      <w:r>
        <w:rPr>
          <w:rFonts w:hint="eastAsia"/>
          <w:sz w:val="30"/>
          <w:szCs w:val="30"/>
        </w:rPr>
        <w:t>超检查，仅采用普通钡餐检查违反诊疗规范。此外，原审中申请人并未针对被申请人对尹宗义所</w:t>
      </w:r>
      <w:r>
        <w:rPr>
          <w:rFonts w:hint="eastAsia"/>
          <w:sz w:val="30"/>
          <w:szCs w:val="30"/>
        </w:rPr>
        <w:t>做的钡餐检查结果申请鉴定，未能证明被申请人基于尹宗义的钡餐检查结果作出相应诊断时存在隐瞒或未告知病情等情形。申请人的上述主张，缺乏事实与法律依据，本院不予支持。</w:t>
      </w:r>
    </w:p>
    <w:p w:rsidR="00000000" w:rsidRDefault="000D73AB">
      <w:pPr>
        <w:spacing w:line="500" w:lineRule="atLeast"/>
        <w:ind w:firstLine="600"/>
        <w:divId w:val="103578725"/>
        <w:rPr>
          <w:rFonts w:hint="eastAsia"/>
          <w:sz w:val="30"/>
          <w:szCs w:val="30"/>
        </w:rPr>
      </w:pPr>
      <w:r>
        <w:rPr>
          <w:rFonts w:hint="eastAsia"/>
          <w:sz w:val="30"/>
          <w:szCs w:val="30"/>
        </w:rPr>
        <w:t>对于申请人主张医疗事故技术鉴定书表述过于绝对，系在无病历情况下作出，证据不足，其结论不能作为认定被申请人无过错的依据的申请理由。经查，涉案两份医疗事故技术鉴定书分别由潍坊市医学会、山东省医学会出具，鉴定程序合法，两份鉴定书意见一致，在申请人未有相反证据足以推翻上述鉴定意见的情况下，原审法院采信该鉴定意见，认定被申请人对尹宗义的诊疗行为不属于医疗事故</w:t>
      </w:r>
      <w:r>
        <w:rPr>
          <w:rFonts w:hint="eastAsia"/>
          <w:sz w:val="30"/>
          <w:szCs w:val="30"/>
        </w:rPr>
        <w:t>，并无不当。</w:t>
      </w:r>
    </w:p>
    <w:p w:rsidR="00000000" w:rsidRDefault="000D73AB">
      <w:pPr>
        <w:spacing w:line="500" w:lineRule="atLeast"/>
        <w:ind w:firstLine="600"/>
        <w:divId w:val="1259489359"/>
        <w:rPr>
          <w:rFonts w:hint="eastAsia"/>
          <w:sz w:val="30"/>
          <w:szCs w:val="30"/>
        </w:rPr>
      </w:pPr>
      <w:r>
        <w:rPr>
          <w:rFonts w:hint="eastAsia"/>
          <w:sz w:val="30"/>
          <w:szCs w:val="30"/>
        </w:rPr>
        <w:t>综上，尹秀娟的再审申请不符合《中华人民共和国民事诉讼法》第二百条第二项规定的情形。依照《中华人民共和国民事诉讼法》第二百零四条第一款、《最高人民法院关于适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0D73AB">
      <w:pPr>
        <w:spacing w:line="500" w:lineRule="atLeast"/>
        <w:ind w:firstLine="600"/>
        <w:divId w:val="488598925"/>
        <w:rPr>
          <w:rFonts w:hint="eastAsia"/>
          <w:sz w:val="30"/>
          <w:szCs w:val="30"/>
        </w:rPr>
      </w:pPr>
      <w:r>
        <w:rPr>
          <w:rFonts w:hint="eastAsia"/>
          <w:sz w:val="30"/>
          <w:szCs w:val="30"/>
        </w:rPr>
        <w:t>驳回尹秀娟的再审申请。</w:t>
      </w:r>
    </w:p>
    <w:p w:rsidR="00000000" w:rsidRDefault="000D73AB">
      <w:pPr>
        <w:spacing w:line="500" w:lineRule="atLeast"/>
        <w:jc w:val="right"/>
        <w:divId w:val="1799647326"/>
        <w:rPr>
          <w:rFonts w:hint="eastAsia"/>
          <w:sz w:val="30"/>
          <w:szCs w:val="30"/>
        </w:rPr>
      </w:pPr>
      <w:r>
        <w:rPr>
          <w:rFonts w:hint="eastAsia"/>
          <w:sz w:val="30"/>
          <w:szCs w:val="30"/>
        </w:rPr>
        <w:t>审判长　　崔志芹</w:t>
      </w:r>
    </w:p>
    <w:p w:rsidR="00000000" w:rsidRDefault="000D73AB">
      <w:pPr>
        <w:spacing w:line="500" w:lineRule="atLeast"/>
        <w:jc w:val="right"/>
        <w:divId w:val="1632133473"/>
        <w:rPr>
          <w:rFonts w:hint="eastAsia"/>
          <w:sz w:val="30"/>
          <w:szCs w:val="30"/>
        </w:rPr>
      </w:pPr>
      <w:r>
        <w:rPr>
          <w:rFonts w:hint="eastAsia"/>
          <w:sz w:val="30"/>
          <w:szCs w:val="30"/>
        </w:rPr>
        <w:t>审判员　　冯　波</w:t>
      </w:r>
    </w:p>
    <w:p w:rsidR="00000000" w:rsidRDefault="000D73AB">
      <w:pPr>
        <w:spacing w:line="500" w:lineRule="atLeast"/>
        <w:jc w:val="right"/>
        <w:divId w:val="1648388599"/>
        <w:rPr>
          <w:rFonts w:hint="eastAsia"/>
          <w:sz w:val="30"/>
          <w:szCs w:val="30"/>
        </w:rPr>
      </w:pPr>
      <w:r>
        <w:rPr>
          <w:rFonts w:hint="eastAsia"/>
          <w:sz w:val="30"/>
          <w:szCs w:val="30"/>
        </w:rPr>
        <w:t>审判员　　李金明</w:t>
      </w:r>
    </w:p>
    <w:p w:rsidR="00000000" w:rsidRDefault="000D73AB">
      <w:pPr>
        <w:spacing w:line="500" w:lineRule="atLeast"/>
        <w:jc w:val="right"/>
        <w:divId w:val="1335641752"/>
        <w:rPr>
          <w:rFonts w:hint="eastAsia"/>
          <w:sz w:val="30"/>
          <w:szCs w:val="30"/>
        </w:rPr>
      </w:pPr>
      <w:r>
        <w:rPr>
          <w:rFonts w:hint="eastAsia"/>
          <w:sz w:val="30"/>
          <w:szCs w:val="30"/>
        </w:rPr>
        <w:t>二〇一九年九月九日</w:t>
      </w:r>
    </w:p>
    <w:p w:rsidR="00000000" w:rsidRDefault="000D73AB">
      <w:pPr>
        <w:spacing w:line="500" w:lineRule="atLeast"/>
        <w:ind w:firstLine="600"/>
        <w:divId w:val="1089277680"/>
        <w:rPr>
          <w:rFonts w:hint="eastAsia"/>
          <w:sz w:val="30"/>
          <w:szCs w:val="30"/>
        </w:rPr>
      </w:pPr>
      <w:r>
        <w:rPr>
          <w:rFonts w:hint="eastAsia"/>
          <w:sz w:val="30"/>
          <w:szCs w:val="30"/>
        </w:rPr>
        <w:t>法官助理柴华</w:t>
      </w:r>
    </w:p>
    <w:p w:rsidR="00000000" w:rsidRDefault="000D73AB">
      <w:pPr>
        <w:spacing w:line="500" w:lineRule="atLeast"/>
        <w:ind w:firstLine="600"/>
        <w:divId w:val="222983288"/>
        <w:rPr>
          <w:rFonts w:hint="eastAsia"/>
          <w:sz w:val="30"/>
          <w:szCs w:val="30"/>
        </w:rPr>
      </w:pPr>
      <w:r>
        <w:rPr>
          <w:rFonts w:hint="eastAsia"/>
          <w:sz w:val="30"/>
          <w:szCs w:val="30"/>
        </w:rPr>
        <w:t>书记员郭敏</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3AB" w:rsidRDefault="000D73AB" w:rsidP="000D73AB">
      <w:r>
        <w:separator/>
      </w:r>
    </w:p>
  </w:endnote>
  <w:endnote w:type="continuationSeparator" w:id="0">
    <w:p w:rsidR="000D73AB" w:rsidRDefault="000D73AB" w:rsidP="000D7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3AB" w:rsidRDefault="000D73AB" w:rsidP="000D73AB">
      <w:r>
        <w:separator/>
      </w:r>
    </w:p>
  </w:footnote>
  <w:footnote w:type="continuationSeparator" w:id="0">
    <w:p w:rsidR="000D73AB" w:rsidRDefault="000D73AB" w:rsidP="000D73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D73AB"/>
    <w:rsid w:val="000D7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D73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73AB"/>
    <w:rPr>
      <w:rFonts w:ascii="宋体" w:eastAsia="宋体" w:hAnsi="宋体" w:cs="宋体"/>
      <w:sz w:val="18"/>
      <w:szCs w:val="18"/>
    </w:rPr>
  </w:style>
  <w:style w:type="paragraph" w:styleId="a5">
    <w:name w:val="footer"/>
    <w:basedOn w:val="a"/>
    <w:link w:val="a6"/>
    <w:uiPriority w:val="99"/>
    <w:unhideWhenUsed/>
    <w:rsid w:val="000D73AB"/>
    <w:pPr>
      <w:tabs>
        <w:tab w:val="center" w:pos="4153"/>
        <w:tab w:val="right" w:pos="8306"/>
      </w:tabs>
      <w:snapToGrid w:val="0"/>
    </w:pPr>
    <w:rPr>
      <w:sz w:val="18"/>
      <w:szCs w:val="18"/>
    </w:rPr>
  </w:style>
  <w:style w:type="character" w:customStyle="1" w:styleId="a6">
    <w:name w:val="页脚 字符"/>
    <w:basedOn w:val="a0"/>
    <w:link w:val="a5"/>
    <w:uiPriority w:val="99"/>
    <w:rsid w:val="000D73A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8725">
      <w:marLeft w:val="0"/>
      <w:marRight w:val="0"/>
      <w:marTop w:val="10"/>
      <w:marBottom w:val="10"/>
      <w:divBdr>
        <w:top w:val="none" w:sz="0" w:space="0" w:color="auto"/>
        <w:left w:val="none" w:sz="0" w:space="0" w:color="auto"/>
        <w:bottom w:val="none" w:sz="0" w:space="0" w:color="auto"/>
        <w:right w:val="none" w:sz="0" w:space="0" w:color="auto"/>
      </w:divBdr>
    </w:div>
    <w:div w:id="130363596">
      <w:marLeft w:val="0"/>
      <w:marRight w:val="0"/>
      <w:marTop w:val="10"/>
      <w:marBottom w:val="10"/>
      <w:divBdr>
        <w:top w:val="none" w:sz="0" w:space="0" w:color="auto"/>
        <w:left w:val="none" w:sz="0" w:space="0" w:color="auto"/>
        <w:bottom w:val="none" w:sz="0" w:space="0" w:color="auto"/>
        <w:right w:val="none" w:sz="0" w:space="0" w:color="auto"/>
      </w:divBdr>
    </w:div>
    <w:div w:id="191383190">
      <w:marLeft w:val="0"/>
      <w:marRight w:val="0"/>
      <w:marTop w:val="10"/>
      <w:marBottom w:val="10"/>
      <w:divBdr>
        <w:top w:val="none" w:sz="0" w:space="0" w:color="auto"/>
        <w:left w:val="none" w:sz="0" w:space="0" w:color="auto"/>
        <w:bottom w:val="none" w:sz="0" w:space="0" w:color="auto"/>
        <w:right w:val="none" w:sz="0" w:space="0" w:color="auto"/>
      </w:divBdr>
    </w:div>
    <w:div w:id="222983288">
      <w:marLeft w:val="0"/>
      <w:marRight w:val="0"/>
      <w:marTop w:val="10"/>
      <w:marBottom w:val="10"/>
      <w:divBdr>
        <w:top w:val="none" w:sz="0" w:space="0" w:color="auto"/>
        <w:left w:val="none" w:sz="0" w:space="0" w:color="auto"/>
        <w:bottom w:val="none" w:sz="0" w:space="0" w:color="auto"/>
        <w:right w:val="none" w:sz="0" w:space="0" w:color="auto"/>
      </w:divBdr>
    </w:div>
    <w:div w:id="314334301">
      <w:marLeft w:val="0"/>
      <w:marRight w:val="0"/>
      <w:marTop w:val="10"/>
      <w:marBottom w:val="10"/>
      <w:divBdr>
        <w:top w:val="none" w:sz="0" w:space="0" w:color="auto"/>
        <w:left w:val="none" w:sz="0" w:space="0" w:color="auto"/>
        <w:bottom w:val="none" w:sz="0" w:space="0" w:color="auto"/>
        <w:right w:val="none" w:sz="0" w:space="0" w:color="auto"/>
      </w:divBdr>
    </w:div>
    <w:div w:id="488598925">
      <w:marLeft w:val="0"/>
      <w:marRight w:val="0"/>
      <w:marTop w:val="10"/>
      <w:marBottom w:val="10"/>
      <w:divBdr>
        <w:top w:val="none" w:sz="0" w:space="0" w:color="auto"/>
        <w:left w:val="none" w:sz="0" w:space="0" w:color="auto"/>
        <w:bottom w:val="none" w:sz="0" w:space="0" w:color="auto"/>
        <w:right w:val="none" w:sz="0" w:space="0" w:color="auto"/>
      </w:divBdr>
    </w:div>
    <w:div w:id="647632497">
      <w:marLeft w:val="0"/>
      <w:marRight w:val="0"/>
      <w:marTop w:val="10"/>
      <w:marBottom w:val="10"/>
      <w:divBdr>
        <w:top w:val="none" w:sz="0" w:space="0" w:color="auto"/>
        <w:left w:val="none" w:sz="0" w:space="0" w:color="auto"/>
        <w:bottom w:val="none" w:sz="0" w:space="0" w:color="auto"/>
        <w:right w:val="none" w:sz="0" w:space="0" w:color="auto"/>
      </w:divBdr>
    </w:div>
    <w:div w:id="825820565">
      <w:marLeft w:val="0"/>
      <w:marRight w:val="0"/>
      <w:marTop w:val="10"/>
      <w:marBottom w:val="10"/>
      <w:divBdr>
        <w:top w:val="none" w:sz="0" w:space="0" w:color="auto"/>
        <w:left w:val="none" w:sz="0" w:space="0" w:color="auto"/>
        <w:bottom w:val="none" w:sz="0" w:space="0" w:color="auto"/>
        <w:right w:val="none" w:sz="0" w:space="0" w:color="auto"/>
      </w:divBdr>
    </w:div>
    <w:div w:id="1035034270">
      <w:marLeft w:val="0"/>
      <w:marRight w:val="0"/>
      <w:marTop w:val="10"/>
      <w:marBottom w:val="10"/>
      <w:divBdr>
        <w:top w:val="none" w:sz="0" w:space="0" w:color="auto"/>
        <w:left w:val="none" w:sz="0" w:space="0" w:color="auto"/>
        <w:bottom w:val="none" w:sz="0" w:space="0" w:color="auto"/>
        <w:right w:val="none" w:sz="0" w:space="0" w:color="auto"/>
      </w:divBdr>
    </w:div>
    <w:div w:id="1089277680">
      <w:marLeft w:val="0"/>
      <w:marRight w:val="0"/>
      <w:marTop w:val="10"/>
      <w:marBottom w:val="10"/>
      <w:divBdr>
        <w:top w:val="none" w:sz="0" w:space="0" w:color="auto"/>
        <w:left w:val="none" w:sz="0" w:space="0" w:color="auto"/>
        <w:bottom w:val="none" w:sz="0" w:space="0" w:color="auto"/>
        <w:right w:val="none" w:sz="0" w:space="0" w:color="auto"/>
      </w:divBdr>
    </w:div>
    <w:div w:id="1200556106">
      <w:marLeft w:val="0"/>
      <w:marRight w:val="0"/>
      <w:marTop w:val="10"/>
      <w:marBottom w:val="10"/>
      <w:divBdr>
        <w:top w:val="none" w:sz="0" w:space="0" w:color="auto"/>
        <w:left w:val="none" w:sz="0" w:space="0" w:color="auto"/>
        <w:bottom w:val="none" w:sz="0" w:space="0" w:color="auto"/>
        <w:right w:val="none" w:sz="0" w:space="0" w:color="auto"/>
      </w:divBdr>
    </w:div>
    <w:div w:id="1259489359">
      <w:marLeft w:val="0"/>
      <w:marRight w:val="0"/>
      <w:marTop w:val="10"/>
      <w:marBottom w:val="10"/>
      <w:divBdr>
        <w:top w:val="none" w:sz="0" w:space="0" w:color="auto"/>
        <w:left w:val="none" w:sz="0" w:space="0" w:color="auto"/>
        <w:bottom w:val="none" w:sz="0" w:space="0" w:color="auto"/>
        <w:right w:val="none" w:sz="0" w:space="0" w:color="auto"/>
      </w:divBdr>
    </w:div>
    <w:div w:id="1335641752">
      <w:marLeft w:val="0"/>
      <w:marRight w:val="720"/>
      <w:marTop w:val="10"/>
      <w:marBottom w:val="10"/>
      <w:divBdr>
        <w:top w:val="none" w:sz="0" w:space="0" w:color="auto"/>
        <w:left w:val="none" w:sz="0" w:space="0" w:color="auto"/>
        <w:bottom w:val="none" w:sz="0" w:space="0" w:color="auto"/>
        <w:right w:val="none" w:sz="0" w:space="0" w:color="auto"/>
      </w:divBdr>
    </w:div>
    <w:div w:id="1632133473">
      <w:marLeft w:val="0"/>
      <w:marRight w:val="720"/>
      <w:marTop w:val="10"/>
      <w:marBottom w:val="10"/>
      <w:divBdr>
        <w:top w:val="none" w:sz="0" w:space="0" w:color="auto"/>
        <w:left w:val="none" w:sz="0" w:space="0" w:color="auto"/>
        <w:bottom w:val="none" w:sz="0" w:space="0" w:color="auto"/>
        <w:right w:val="none" w:sz="0" w:space="0" w:color="auto"/>
      </w:divBdr>
    </w:div>
    <w:div w:id="1634211527">
      <w:marLeft w:val="0"/>
      <w:marRight w:val="0"/>
      <w:marTop w:val="10"/>
      <w:marBottom w:val="10"/>
      <w:divBdr>
        <w:top w:val="none" w:sz="0" w:space="0" w:color="auto"/>
        <w:left w:val="none" w:sz="0" w:space="0" w:color="auto"/>
        <w:bottom w:val="none" w:sz="0" w:space="0" w:color="auto"/>
        <w:right w:val="none" w:sz="0" w:space="0" w:color="auto"/>
      </w:divBdr>
    </w:div>
    <w:div w:id="1648388599">
      <w:marLeft w:val="0"/>
      <w:marRight w:val="720"/>
      <w:marTop w:val="10"/>
      <w:marBottom w:val="10"/>
      <w:divBdr>
        <w:top w:val="none" w:sz="0" w:space="0" w:color="auto"/>
        <w:left w:val="none" w:sz="0" w:space="0" w:color="auto"/>
        <w:bottom w:val="none" w:sz="0" w:space="0" w:color="auto"/>
        <w:right w:val="none" w:sz="0" w:space="0" w:color="auto"/>
      </w:divBdr>
    </w:div>
    <w:div w:id="1740202369">
      <w:marLeft w:val="0"/>
      <w:marRight w:val="0"/>
      <w:marTop w:val="10"/>
      <w:marBottom w:val="10"/>
      <w:divBdr>
        <w:top w:val="none" w:sz="0" w:space="0" w:color="auto"/>
        <w:left w:val="none" w:sz="0" w:space="0" w:color="auto"/>
        <w:bottom w:val="none" w:sz="0" w:space="0" w:color="auto"/>
        <w:right w:val="none" w:sz="0" w:space="0" w:color="auto"/>
      </w:divBdr>
    </w:div>
    <w:div w:id="1799647326">
      <w:marLeft w:val="0"/>
      <w:marRight w:val="720"/>
      <w:marTop w:val="10"/>
      <w:marBottom w:val="10"/>
      <w:divBdr>
        <w:top w:val="none" w:sz="0" w:space="0" w:color="auto"/>
        <w:left w:val="none" w:sz="0" w:space="0" w:color="auto"/>
        <w:bottom w:val="none" w:sz="0" w:space="0" w:color="auto"/>
        <w:right w:val="none" w:sz="0" w:space="0" w:color="auto"/>
      </w:divBdr>
    </w:div>
    <w:div w:id="1821388103">
      <w:marLeft w:val="0"/>
      <w:marRight w:val="0"/>
      <w:marTop w:val="10"/>
      <w:marBottom w:val="10"/>
      <w:divBdr>
        <w:top w:val="none" w:sz="0" w:space="0" w:color="auto"/>
        <w:left w:val="none" w:sz="0" w:space="0" w:color="auto"/>
        <w:bottom w:val="none" w:sz="0" w:space="0" w:color="auto"/>
        <w:right w:val="none" w:sz="0" w:space="0" w:color="auto"/>
      </w:divBdr>
    </w:div>
    <w:div w:id="1864202144">
      <w:marLeft w:val="0"/>
      <w:marRight w:val="0"/>
      <w:marTop w:val="10"/>
      <w:marBottom w:val="10"/>
      <w:divBdr>
        <w:top w:val="none" w:sz="0" w:space="0" w:color="auto"/>
        <w:left w:val="none" w:sz="0" w:space="0" w:color="auto"/>
        <w:bottom w:val="none" w:sz="0" w:space="0" w:color="auto"/>
        <w:right w:val="none" w:sz="0" w:space="0" w:color="auto"/>
      </w:divBdr>
    </w:div>
    <w:div w:id="200785803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