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B0665">
      <w:pPr>
        <w:spacing w:line="500" w:lineRule="atLeast"/>
        <w:jc w:val="center"/>
        <w:divId w:val="1453862058"/>
        <w:rPr>
          <w:rFonts w:ascii="黑体" w:eastAsia="黑体" w:hAnsi="黑体"/>
          <w:sz w:val="36"/>
          <w:szCs w:val="36"/>
        </w:rPr>
      </w:pPr>
      <w:bookmarkStart w:id="0" w:name="_GoBack"/>
      <w:bookmarkEnd w:id="0"/>
      <w:r>
        <w:rPr>
          <w:rFonts w:ascii="黑体" w:eastAsia="黑体" w:hAnsi="黑体" w:hint="eastAsia"/>
          <w:sz w:val="36"/>
          <w:szCs w:val="36"/>
        </w:rPr>
        <w:t>新疆维吾尔自治区高级人民法院</w:t>
      </w:r>
    </w:p>
    <w:p w:rsidR="00000000" w:rsidRDefault="002B0665">
      <w:pPr>
        <w:spacing w:line="500" w:lineRule="atLeast"/>
        <w:jc w:val="center"/>
        <w:divId w:val="21242260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B0665">
      <w:pPr>
        <w:spacing w:line="500" w:lineRule="atLeast"/>
        <w:jc w:val="right"/>
        <w:divId w:val="1742217289"/>
        <w:rPr>
          <w:rFonts w:hint="eastAsia"/>
          <w:sz w:val="30"/>
          <w:szCs w:val="30"/>
        </w:rPr>
      </w:pPr>
      <w:r>
        <w:rPr>
          <w:rFonts w:hint="eastAsia"/>
          <w:sz w:val="30"/>
          <w:szCs w:val="30"/>
        </w:rPr>
        <w:t>（</w:t>
      </w:r>
      <w:r>
        <w:rPr>
          <w:rFonts w:hint="eastAsia"/>
          <w:sz w:val="30"/>
          <w:szCs w:val="30"/>
        </w:rPr>
        <w:t>2022</w:t>
      </w:r>
      <w:r>
        <w:rPr>
          <w:rFonts w:hint="eastAsia"/>
          <w:sz w:val="30"/>
          <w:szCs w:val="30"/>
        </w:rPr>
        <w:t>）新民申</w:t>
      </w:r>
      <w:r>
        <w:rPr>
          <w:rFonts w:hint="eastAsia"/>
          <w:sz w:val="30"/>
          <w:szCs w:val="30"/>
        </w:rPr>
        <w:t>1579</w:t>
      </w:r>
      <w:r>
        <w:rPr>
          <w:rFonts w:hint="eastAsia"/>
          <w:sz w:val="30"/>
          <w:szCs w:val="30"/>
        </w:rPr>
        <w:t>号</w:t>
      </w:r>
    </w:p>
    <w:p w:rsidR="00000000" w:rsidRDefault="002B0665">
      <w:pPr>
        <w:spacing w:line="500" w:lineRule="atLeast"/>
        <w:ind w:firstLine="600"/>
        <w:divId w:val="779225146"/>
        <w:rPr>
          <w:rFonts w:hint="eastAsia"/>
          <w:sz w:val="30"/>
          <w:szCs w:val="30"/>
        </w:rPr>
      </w:pPr>
      <w:r>
        <w:rPr>
          <w:rFonts w:hint="eastAsia"/>
          <w:sz w:val="30"/>
          <w:szCs w:val="30"/>
        </w:rPr>
        <w:t>再审申请人（一审原告、二审上诉人）：展海林，女，</w:t>
      </w:r>
      <w:r>
        <w:rPr>
          <w:rFonts w:hint="eastAsia"/>
          <w:sz w:val="30"/>
          <w:szCs w:val="30"/>
        </w:rPr>
        <w:t>1969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日出生，住新疆维吾尔自治区乌鲁木齐市米东区。</w:t>
      </w:r>
    </w:p>
    <w:p w:rsidR="00000000" w:rsidRDefault="002B0665">
      <w:pPr>
        <w:spacing w:line="500" w:lineRule="atLeast"/>
        <w:ind w:firstLine="600"/>
        <w:divId w:val="881746211"/>
        <w:rPr>
          <w:rFonts w:hint="eastAsia"/>
          <w:sz w:val="30"/>
          <w:szCs w:val="30"/>
        </w:rPr>
      </w:pPr>
      <w:r>
        <w:rPr>
          <w:rFonts w:hint="eastAsia"/>
          <w:sz w:val="30"/>
          <w:szCs w:val="30"/>
        </w:rPr>
        <w:t>被申请人（一审被告、二审被上诉人）：乌鲁木齐市米东区人民医院，住所地新疆维吾尔自治区乌鲁木齐市米东区古牧地西路</w:t>
      </w:r>
      <w:r>
        <w:rPr>
          <w:rFonts w:hint="eastAsia"/>
          <w:sz w:val="30"/>
          <w:szCs w:val="30"/>
        </w:rPr>
        <w:t>65</w:t>
      </w:r>
      <w:r>
        <w:rPr>
          <w:rFonts w:hint="eastAsia"/>
          <w:sz w:val="30"/>
          <w:szCs w:val="30"/>
        </w:rPr>
        <w:t>号。</w:t>
      </w:r>
    </w:p>
    <w:p w:rsidR="00000000" w:rsidRDefault="002B0665">
      <w:pPr>
        <w:spacing w:line="500" w:lineRule="atLeast"/>
        <w:ind w:firstLine="600"/>
        <w:divId w:val="275867725"/>
        <w:rPr>
          <w:rFonts w:hint="eastAsia"/>
          <w:sz w:val="30"/>
          <w:szCs w:val="30"/>
        </w:rPr>
      </w:pPr>
      <w:r>
        <w:rPr>
          <w:rFonts w:hint="eastAsia"/>
          <w:sz w:val="30"/>
          <w:szCs w:val="30"/>
        </w:rPr>
        <w:t>法定代表人：宋明丽，该院院长。</w:t>
      </w:r>
    </w:p>
    <w:p w:rsidR="00000000" w:rsidRDefault="002B0665">
      <w:pPr>
        <w:spacing w:line="500" w:lineRule="atLeast"/>
        <w:ind w:firstLine="600"/>
        <w:divId w:val="1900096226"/>
        <w:rPr>
          <w:rFonts w:hint="eastAsia"/>
          <w:sz w:val="30"/>
          <w:szCs w:val="30"/>
        </w:rPr>
      </w:pPr>
      <w:r>
        <w:rPr>
          <w:rFonts w:hint="eastAsia"/>
          <w:sz w:val="30"/>
          <w:szCs w:val="30"/>
        </w:rPr>
        <w:t>再审申请人展海林因与被申请人乌鲁木齐市米东区人民医院（以下简称米东区医院）医疗损害责任纠纷一案，不服新疆维吾尔自治区乌鲁木齐市中级人民法院（</w:t>
      </w:r>
      <w:r>
        <w:rPr>
          <w:rFonts w:hint="eastAsia"/>
          <w:sz w:val="30"/>
          <w:szCs w:val="30"/>
        </w:rPr>
        <w:t>2022</w:t>
      </w:r>
      <w:r>
        <w:rPr>
          <w:rFonts w:hint="eastAsia"/>
          <w:sz w:val="30"/>
          <w:szCs w:val="30"/>
        </w:rPr>
        <w:t>）新</w:t>
      </w:r>
      <w:r>
        <w:rPr>
          <w:rFonts w:hint="eastAsia"/>
          <w:sz w:val="30"/>
          <w:szCs w:val="30"/>
        </w:rPr>
        <w:t>01</w:t>
      </w:r>
      <w:r>
        <w:rPr>
          <w:rFonts w:hint="eastAsia"/>
          <w:sz w:val="30"/>
          <w:szCs w:val="30"/>
        </w:rPr>
        <w:t>民终</w:t>
      </w:r>
      <w:r>
        <w:rPr>
          <w:rFonts w:hint="eastAsia"/>
          <w:sz w:val="30"/>
          <w:szCs w:val="30"/>
        </w:rPr>
        <w:t>862</w:t>
      </w:r>
      <w:r>
        <w:rPr>
          <w:rFonts w:hint="eastAsia"/>
          <w:sz w:val="30"/>
          <w:szCs w:val="30"/>
        </w:rPr>
        <w:t>号民事判决，向本院申请再审。本院于</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日受理后，依法组成合议庭进行了审查，现已审查终结。</w:t>
      </w:r>
    </w:p>
    <w:p w:rsidR="00000000" w:rsidRDefault="002B0665">
      <w:pPr>
        <w:spacing w:line="500" w:lineRule="atLeast"/>
        <w:ind w:firstLine="600"/>
        <w:divId w:val="828786132"/>
        <w:rPr>
          <w:rFonts w:hint="eastAsia"/>
          <w:sz w:val="30"/>
          <w:szCs w:val="30"/>
        </w:rPr>
      </w:pPr>
      <w:r>
        <w:rPr>
          <w:rFonts w:hint="eastAsia"/>
          <w:sz w:val="30"/>
          <w:szCs w:val="30"/>
        </w:rPr>
        <w:t>展海林申请再审称，一、本案中，新疆祥云司法鉴定所在对我进行急性胰腺炎致病原因鉴定过程中，程序严重违法。新疆祥云司法鉴定所没有鉴定资质，我要求委托新疆医学会进行鉴定，但第一审人民法院拒绝，造成本案事实不清。另，《医疗事故技术鉴定暂行办法》第三十</w:t>
      </w:r>
      <w:r>
        <w:rPr>
          <w:rFonts w:hint="eastAsia"/>
          <w:sz w:val="30"/>
          <w:szCs w:val="30"/>
        </w:rPr>
        <w:t>三条第（一）项规定，鉴定由专家鉴定组组长主持，双方当事人在规定的时间内分别陈述意见和理由，陈述顺序先患方，后医疗机构。案涉鉴定仅采用了米东区医院提供的病历，并未参考我提供的病历。二、第一、二审人民法院的审理程序存在违法情形。第一审人民法院的审判人员在处理此案时，有私下接触当事人及其代理人的情形，影响案件公正处理，严重损害了我的合法权益。原审人民法院在审理案件过程中，人民陪审员配备不足，也没有开视</w:t>
      </w:r>
      <w:r>
        <w:rPr>
          <w:rFonts w:hint="eastAsia"/>
          <w:sz w:val="30"/>
          <w:szCs w:val="30"/>
        </w:rPr>
        <w:lastRenderedPageBreak/>
        <w:t>频。原审人民法院的审判人员未审阅我提交的证据，从开始询问到结束只用了二十多分钟。原审人民法院以我没有提供任何证据驳</w:t>
      </w:r>
      <w:r>
        <w:rPr>
          <w:rFonts w:hint="eastAsia"/>
          <w:sz w:val="30"/>
          <w:szCs w:val="30"/>
        </w:rPr>
        <w:t>回我的上诉请求不当。综上，我申请对案件予以再审。</w:t>
      </w:r>
    </w:p>
    <w:p w:rsidR="00000000" w:rsidRDefault="002B0665">
      <w:pPr>
        <w:spacing w:line="500" w:lineRule="atLeast"/>
        <w:ind w:firstLine="600"/>
        <w:divId w:val="65274546"/>
        <w:rPr>
          <w:rFonts w:hint="eastAsia"/>
          <w:sz w:val="30"/>
          <w:szCs w:val="30"/>
        </w:rPr>
      </w:pPr>
      <w:r>
        <w:rPr>
          <w:rFonts w:hint="eastAsia"/>
          <w:sz w:val="30"/>
          <w:szCs w:val="30"/>
        </w:rPr>
        <w:t>米东区医院提交意见称，一、再审申请人陈述的事由并不符合民事诉讼法所规定的应当提起再审的理由，其并没有出示新的可以推翻原判决的证据。本案系医疗损害纠纷，根据法律规定，再审申请人应当对侵权的构成要件负有举证义务，第一审人民法院根据申请人的申请进行司法鉴定，第一次鉴定退回后，第一审人民法院另行委托其他鉴定机构进行鉴定，当事人对鉴定材料也进行了质证，所以本案新疆祥云司法鉴定所鉴定程序合法，原审人民法院依法采信鉴定意见并作出判决并无不当。二、再审申请人陈述本案代理人和</w:t>
      </w:r>
      <w:r>
        <w:rPr>
          <w:rFonts w:hint="eastAsia"/>
          <w:sz w:val="30"/>
          <w:szCs w:val="30"/>
        </w:rPr>
        <w:t>法官有共同吃饭的事实，本案代理律师与承办法官均是正常正当对接，正常进行调解、开庭，在此之外无任何宴请的事实。三、第二审人民法院通过询问的方式进行审查、审理并无过错，就申请人目前向法院出示的证据不能证实我单位诊疗行为有过错。综上再审申请人的再审请求没有事实法律依据，请求驳回再审申请。</w:t>
      </w:r>
    </w:p>
    <w:p w:rsidR="00000000" w:rsidRDefault="002B0665">
      <w:pPr>
        <w:spacing w:line="500" w:lineRule="atLeast"/>
        <w:ind w:firstLine="600"/>
        <w:divId w:val="1590654000"/>
        <w:rPr>
          <w:rFonts w:hint="eastAsia"/>
          <w:sz w:val="30"/>
          <w:szCs w:val="30"/>
        </w:rPr>
      </w:pPr>
      <w:r>
        <w:rPr>
          <w:rFonts w:hint="eastAsia"/>
          <w:sz w:val="30"/>
          <w:szCs w:val="30"/>
        </w:rPr>
        <w:t>本院经审查认为，本案审查的焦点为：一、原审人民法院采信新疆祥云司法鉴定所鉴定意见是否妥当。二、第一、二审人民法院的审理程序是否存在违法情形。</w:t>
      </w:r>
    </w:p>
    <w:p w:rsidR="00000000" w:rsidRDefault="002B0665">
      <w:pPr>
        <w:spacing w:line="500" w:lineRule="atLeast"/>
        <w:ind w:firstLine="600"/>
        <w:divId w:val="87427834"/>
        <w:rPr>
          <w:rFonts w:hint="eastAsia"/>
          <w:sz w:val="30"/>
          <w:szCs w:val="30"/>
        </w:rPr>
      </w:pPr>
      <w:r>
        <w:rPr>
          <w:rFonts w:hint="eastAsia"/>
          <w:sz w:val="30"/>
          <w:szCs w:val="30"/>
        </w:rPr>
        <w:t>一、关于原审人民法院采信新疆祥云司法鉴定所鉴定意见是否妥当的问题</w:t>
      </w:r>
    </w:p>
    <w:p w:rsidR="00000000" w:rsidRDefault="002B0665">
      <w:pPr>
        <w:spacing w:line="500" w:lineRule="atLeast"/>
        <w:ind w:firstLine="600"/>
        <w:divId w:val="711881696"/>
        <w:rPr>
          <w:rFonts w:hint="eastAsia"/>
          <w:sz w:val="30"/>
          <w:szCs w:val="30"/>
        </w:rPr>
      </w:pPr>
      <w:r>
        <w:rPr>
          <w:rFonts w:hint="eastAsia"/>
          <w:sz w:val="30"/>
          <w:szCs w:val="30"/>
        </w:rPr>
        <w:t>本案中，人民法院经双</w:t>
      </w:r>
      <w:r>
        <w:rPr>
          <w:rFonts w:hint="eastAsia"/>
          <w:sz w:val="30"/>
          <w:szCs w:val="30"/>
        </w:rPr>
        <w:t>方当事人同意委托鉴定机构进行司法鉴定。本案并未进行医疗事故技术鉴定，不适用《医疗事故技术鉴定暂行办法》的规定。《最高人民法院关于民事诉讼证据的若干规定》（</w:t>
      </w:r>
      <w:r>
        <w:rPr>
          <w:rFonts w:hint="eastAsia"/>
          <w:sz w:val="30"/>
          <w:szCs w:val="30"/>
        </w:rPr>
        <w:t>2019</w:t>
      </w:r>
      <w:r>
        <w:rPr>
          <w:rFonts w:hint="eastAsia"/>
          <w:sz w:val="30"/>
          <w:szCs w:val="30"/>
        </w:rPr>
        <w:t>年修正）第四十条第一款规定：“当事人申请重新鉴定，存在下列情形之一的，人民法院应当准许：</w:t>
      </w:r>
      <w:r>
        <w:rPr>
          <w:rFonts w:hint="eastAsia"/>
          <w:sz w:val="30"/>
          <w:szCs w:val="30"/>
        </w:rPr>
        <w:lastRenderedPageBreak/>
        <w:t>（一）鉴定人不具备相应资格的；（二）鉴定程序严重违法的；（三）鉴定意见明显依据不足的；（四）鉴定意见不能作为证据使用的其他情形。”本案中，新疆祥云司法鉴定所和鉴定人李疆、李增新有相关鉴定资质，展海林未提交新疆祥云司法鉴定所在本次鉴定程序中严重违法的具体内容及相应</w:t>
      </w:r>
      <w:r>
        <w:rPr>
          <w:rFonts w:hint="eastAsia"/>
          <w:sz w:val="30"/>
          <w:szCs w:val="30"/>
        </w:rPr>
        <w:t>证据。故原审人民法院不予准许其要求重新鉴定的申请并据此采信鉴定意见并无不当。</w:t>
      </w:r>
    </w:p>
    <w:p w:rsidR="00000000" w:rsidRDefault="002B0665">
      <w:pPr>
        <w:spacing w:line="500" w:lineRule="atLeast"/>
        <w:ind w:firstLine="600"/>
        <w:divId w:val="278069528"/>
        <w:rPr>
          <w:rFonts w:hint="eastAsia"/>
          <w:sz w:val="30"/>
          <w:szCs w:val="30"/>
        </w:rPr>
      </w:pPr>
      <w:r>
        <w:rPr>
          <w:rFonts w:hint="eastAsia"/>
          <w:sz w:val="30"/>
          <w:szCs w:val="30"/>
        </w:rPr>
        <w:t>二、关于第一、二审人民法院的审理程序是否存在违法情形的问题</w:t>
      </w:r>
    </w:p>
    <w:p w:rsidR="00000000" w:rsidRDefault="002B0665">
      <w:pPr>
        <w:spacing w:line="500" w:lineRule="atLeast"/>
        <w:ind w:firstLine="600"/>
        <w:divId w:val="250546229"/>
        <w:rPr>
          <w:rFonts w:hint="eastAsia"/>
          <w:sz w:val="30"/>
          <w:szCs w:val="30"/>
        </w:rPr>
      </w:pPr>
      <w:r>
        <w:rPr>
          <w:rFonts w:hint="eastAsia"/>
          <w:sz w:val="30"/>
          <w:szCs w:val="30"/>
        </w:rPr>
        <w:t>展海林认为第一审人民法院的审判人员存在私下接触被米东区医院及其代理人的情形，但这系其根据通话内容进行的猜测，并未提供证据予以证实。人民法院审理第二审民事案件，除法律规定的由审判员一人独任审理情形外，应当由审判员组成合议庭，而不能由人民陪审员参加合议庭。原审人民法院经过询问，以不开庭方式审理本案，双方当事人对此均无异议。展海林认为第一、二审人民法院的审理程序存在违法情形的理</w:t>
      </w:r>
      <w:r>
        <w:rPr>
          <w:rFonts w:hint="eastAsia"/>
          <w:sz w:val="30"/>
          <w:szCs w:val="30"/>
        </w:rPr>
        <w:t>由不能成立。</w:t>
      </w:r>
    </w:p>
    <w:p w:rsidR="00000000" w:rsidRDefault="002B0665">
      <w:pPr>
        <w:spacing w:line="500" w:lineRule="atLeast"/>
        <w:ind w:firstLine="600"/>
        <w:divId w:val="1739328347"/>
        <w:rPr>
          <w:rFonts w:hint="eastAsia"/>
          <w:sz w:val="30"/>
          <w:szCs w:val="30"/>
        </w:rPr>
      </w:pPr>
      <w:r>
        <w:rPr>
          <w:rFonts w:hint="eastAsia"/>
          <w:sz w:val="30"/>
          <w:szCs w:val="30"/>
        </w:rPr>
        <w:t>综上，展海林的再审申请不符合《中华人民共和国民事诉讼法》第二百零七条规定的情形。依照《中华人民共和国民事诉讼法》第二百一十一条第一款，《最高人民法院关于适用〈中华人民共和国民事诉讼法〉的解释》第三百九十三条第二款规定，裁定如下：</w:t>
      </w:r>
    </w:p>
    <w:p w:rsidR="00000000" w:rsidRDefault="002B0665">
      <w:pPr>
        <w:spacing w:line="500" w:lineRule="atLeast"/>
        <w:ind w:firstLine="600"/>
        <w:divId w:val="924143226"/>
        <w:rPr>
          <w:rFonts w:hint="eastAsia"/>
          <w:sz w:val="30"/>
          <w:szCs w:val="30"/>
        </w:rPr>
      </w:pPr>
      <w:r>
        <w:rPr>
          <w:rFonts w:hint="eastAsia"/>
          <w:sz w:val="30"/>
          <w:szCs w:val="30"/>
        </w:rPr>
        <w:t>驳回展海林的再审申请。</w:t>
      </w:r>
    </w:p>
    <w:p w:rsidR="00000000" w:rsidRDefault="002B0665">
      <w:pPr>
        <w:spacing w:line="500" w:lineRule="atLeast"/>
        <w:jc w:val="right"/>
        <w:divId w:val="86784165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陈　　建　　红</w:t>
      </w:r>
    </w:p>
    <w:p w:rsidR="00000000" w:rsidRDefault="002B0665">
      <w:pPr>
        <w:spacing w:line="500" w:lineRule="atLeast"/>
        <w:jc w:val="right"/>
        <w:divId w:val="40738325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侯　　卫　　宁</w:t>
      </w:r>
    </w:p>
    <w:p w:rsidR="00000000" w:rsidRDefault="002B0665">
      <w:pPr>
        <w:spacing w:line="500" w:lineRule="atLeast"/>
        <w:jc w:val="right"/>
        <w:divId w:val="99858305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张　　　　　斌</w:t>
      </w:r>
    </w:p>
    <w:p w:rsidR="00000000" w:rsidRDefault="002B0665">
      <w:pPr>
        <w:spacing w:line="500" w:lineRule="atLeast"/>
        <w:jc w:val="right"/>
        <w:divId w:val="2111123304"/>
        <w:rPr>
          <w:rFonts w:hint="eastAsia"/>
          <w:sz w:val="30"/>
          <w:szCs w:val="30"/>
        </w:rPr>
      </w:pPr>
      <w:r>
        <w:rPr>
          <w:rFonts w:hint="eastAsia"/>
          <w:sz w:val="30"/>
          <w:szCs w:val="30"/>
        </w:rPr>
        <w:t>二〇二二年八月八日</w:t>
      </w:r>
    </w:p>
    <w:p w:rsidR="00000000" w:rsidRDefault="002B0665">
      <w:pPr>
        <w:spacing w:line="500" w:lineRule="atLeast"/>
        <w:jc w:val="right"/>
        <w:divId w:val="1180584762"/>
        <w:rPr>
          <w:rFonts w:hint="eastAsia"/>
          <w:sz w:val="30"/>
          <w:szCs w:val="30"/>
        </w:rPr>
      </w:pPr>
      <w:r>
        <w:rPr>
          <w:rFonts w:hint="eastAsia"/>
          <w:sz w:val="30"/>
          <w:szCs w:val="30"/>
        </w:rPr>
        <w:t>法官助理　李　　武　　君</w:t>
      </w:r>
    </w:p>
    <w:p w:rsidR="00000000" w:rsidRDefault="002B0665">
      <w:pPr>
        <w:spacing w:line="500" w:lineRule="atLeast"/>
        <w:jc w:val="right"/>
        <w:divId w:val="16154747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穆尼拉·肉司坦</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665" w:rsidRDefault="002B0665" w:rsidP="002B0665">
      <w:r>
        <w:separator/>
      </w:r>
    </w:p>
  </w:endnote>
  <w:endnote w:type="continuationSeparator" w:id="0">
    <w:p w:rsidR="002B0665" w:rsidRDefault="002B0665" w:rsidP="002B0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665" w:rsidRDefault="002B0665" w:rsidP="002B0665">
      <w:r>
        <w:separator/>
      </w:r>
    </w:p>
  </w:footnote>
  <w:footnote w:type="continuationSeparator" w:id="0">
    <w:p w:rsidR="002B0665" w:rsidRDefault="002B0665" w:rsidP="002B06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B0665"/>
    <w:rsid w:val="002B0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B06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0665"/>
    <w:rPr>
      <w:rFonts w:ascii="宋体" w:eastAsia="宋体" w:hAnsi="宋体" w:cs="宋体"/>
      <w:sz w:val="18"/>
      <w:szCs w:val="18"/>
    </w:rPr>
  </w:style>
  <w:style w:type="paragraph" w:styleId="a5">
    <w:name w:val="footer"/>
    <w:basedOn w:val="a"/>
    <w:link w:val="a6"/>
    <w:uiPriority w:val="99"/>
    <w:unhideWhenUsed/>
    <w:rsid w:val="002B0665"/>
    <w:pPr>
      <w:tabs>
        <w:tab w:val="center" w:pos="4153"/>
        <w:tab w:val="right" w:pos="8306"/>
      </w:tabs>
      <w:snapToGrid w:val="0"/>
    </w:pPr>
    <w:rPr>
      <w:sz w:val="18"/>
      <w:szCs w:val="18"/>
    </w:rPr>
  </w:style>
  <w:style w:type="character" w:customStyle="1" w:styleId="a6">
    <w:name w:val="页脚 字符"/>
    <w:basedOn w:val="a0"/>
    <w:link w:val="a5"/>
    <w:uiPriority w:val="99"/>
    <w:rsid w:val="002B066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4546">
      <w:marLeft w:val="0"/>
      <w:marRight w:val="0"/>
      <w:marTop w:val="10"/>
      <w:marBottom w:val="10"/>
      <w:divBdr>
        <w:top w:val="none" w:sz="0" w:space="0" w:color="auto"/>
        <w:left w:val="none" w:sz="0" w:space="0" w:color="auto"/>
        <w:bottom w:val="none" w:sz="0" w:space="0" w:color="auto"/>
        <w:right w:val="none" w:sz="0" w:space="0" w:color="auto"/>
      </w:divBdr>
    </w:div>
    <w:div w:id="87427834">
      <w:marLeft w:val="0"/>
      <w:marRight w:val="0"/>
      <w:marTop w:val="10"/>
      <w:marBottom w:val="10"/>
      <w:divBdr>
        <w:top w:val="none" w:sz="0" w:space="0" w:color="auto"/>
        <w:left w:val="none" w:sz="0" w:space="0" w:color="auto"/>
        <w:bottom w:val="none" w:sz="0" w:space="0" w:color="auto"/>
        <w:right w:val="none" w:sz="0" w:space="0" w:color="auto"/>
      </w:divBdr>
    </w:div>
    <w:div w:id="161547476">
      <w:marLeft w:val="0"/>
      <w:marRight w:val="720"/>
      <w:marTop w:val="10"/>
      <w:marBottom w:val="10"/>
      <w:divBdr>
        <w:top w:val="none" w:sz="0" w:space="0" w:color="auto"/>
        <w:left w:val="none" w:sz="0" w:space="0" w:color="auto"/>
        <w:bottom w:val="none" w:sz="0" w:space="0" w:color="auto"/>
        <w:right w:val="none" w:sz="0" w:space="0" w:color="auto"/>
      </w:divBdr>
    </w:div>
    <w:div w:id="250546229">
      <w:marLeft w:val="0"/>
      <w:marRight w:val="0"/>
      <w:marTop w:val="10"/>
      <w:marBottom w:val="10"/>
      <w:divBdr>
        <w:top w:val="none" w:sz="0" w:space="0" w:color="auto"/>
        <w:left w:val="none" w:sz="0" w:space="0" w:color="auto"/>
        <w:bottom w:val="none" w:sz="0" w:space="0" w:color="auto"/>
        <w:right w:val="none" w:sz="0" w:space="0" w:color="auto"/>
      </w:divBdr>
    </w:div>
    <w:div w:id="275867725">
      <w:marLeft w:val="0"/>
      <w:marRight w:val="0"/>
      <w:marTop w:val="10"/>
      <w:marBottom w:val="10"/>
      <w:divBdr>
        <w:top w:val="none" w:sz="0" w:space="0" w:color="auto"/>
        <w:left w:val="none" w:sz="0" w:space="0" w:color="auto"/>
        <w:bottom w:val="none" w:sz="0" w:space="0" w:color="auto"/>
        <w:right w:val="none" w:sz="0" w:space="0" w:color="auto"/>
      </w:divBdr>
    </w:div>
    <w:div w:id="278069528">
      <w:marLeft w:val="0"/>
      <w:marRight w:val="0"/>
      <w:marTop w:val="10"/>
      <w:marBottom w:val="10"/>
      <w:divBdr>
        <w:top w:val="none" w:sz="0" w:space="0" w:color="auto"/>
        <w:left w:val="none" w:sz="0" w:space="0" w:color="auto"/>
        <w:bottom w:val="none" w:sz="0" w:space="0" w:color="auto"/>
        <w:right w:val="none" w:sz="0" w:space="0" w:color="auto"/>
      </w:divBdr>
    </w:div>
    <w:div w:id="407383251">
      <w:marLeft w:val="0"/>
      <w:marRight w:val="720"/>
      <w:marTop w:val="10"/>
      <w:marBottom w:val="10"/>
      <w:divBdr>
        <w:top w:val="none" w:sz="0" w:space="0" w:color="auto"/>
        <w:left w:val="none" w:sz="0" w:space="0" w:color="auto"/>
        <w:bottom w:val="none" w:sz="0" w:space="0" w:color="auto"/>
        <w:right w:val="none" w:sz="0" w:space="0" w:color="auto"/>
      </w:divBdr>
    </w:div>
    <w:div w:id="711881696">
      <w:marLeft w:val="0"/>
      <w:marRight w:val="0"/>
      <w:marTop w:val="10"/>
      <w:marBottom w:val="10"/>
      <w:divBdr>
        <w:top w:val="none" w:sz="0" w:space="0" w:color="auto"/>
        <w:left w:val="none" w:sz="0" w:space="0" w:color="auto"/>
        <w:bottom w:val="none" w:sz="0" w:space="0" w:color="auto"/>
        <w:right w:val="none" w:sz="0" w:space="0" w:color="auto"/>
      </w:divBdr>
    </w:div>
    <w:div w:id="779225146">
      <w:marLeft w:val="0"/>
      <w:marRight w:val="0"/>
      <w:marTop w:val="10"/>
      <w:marBottom w:val="10"/>
      <w:divBdr>
        <w:top w:val="none" w:sz="0" w:space="0" w:color="auto"/>
        <w:left w:val="none" w:sz="0" w:space="0" w:color="auto"/>
        <w:bottom w:val="none" w:sz="0" w:space="0" w:color="auto"/>
        <w:right w:val="none" w:sz="0" w:space="0" w:color="auto"/>
      </w:divBdr>
    </w:div>
    <w:div w:id="828786132">
      <w:marLeft w:val="0"/>
      <w:marRight w:val="0"/>
      <w:marTop w:val="10"/>
      <w:marBottom w:val="10"/>
      <w:divBdr>
        <w:top w:val="none" w:sz="0" w:space="0" w:color="auto"/>
        <w:left w:val="none" w:sz="0" w:space="0" w:color="auto"/>
        <w:bottom w:val="none" w:sz="0" w:space="0" w:color="auto"/>
        <w:right w:val="none" w:sz="0" w:space="0" w:color="auto"/>
      </w:divBdr>
    </w:div>
    <w:div w:id="867841652">
      <w:marLeft w:val="0"/>
      <w:marRight w:val="720"/>
      <w:marTop w:val="10"/>
      <w:marBottom w:val="10"/>
      <w:divBdr>
        <w:top w:val="none" w:sz="0" w:space="0" w:color="auto"/>
        <w:left w:val="none" w:sz="0" w:space="0" w:color="auto"/>
        <w:bottom w:val="none" w:sz="0" w:space="0" w:color="auto"/>
        <w:right w:val="none" w:sz="0" w:space="0" w:color="auto"/>
      </w:divBdr>
    </w:div>
    <w:div w:id="881746211">
      <w:marLeft w:val="0"/>
      <w:marRight w:val="0"/>
      <w:marTop w:val="10"/>
      <w:marBottom w:val="10"/>
      <w:divBdr>
        <w:top w:val="none" w:sz="0" w:space="0" w:color="auto"/>
        <w:left w:val="none" w:sz="0" w:space="0" w:color="auto"/>
        <w:bottom w:val="none" w:sz="0" w:space="0" w:color="auto"/>
        <w:right w:val="none" w:sz="0" w:space="0" w:color="auto"/>
      </w:divBdr>
    </w:div>
    <w:div w:id="924143226">
      <w:marLeft w:val="0"/>
      <w:marRight w:val="0"/>
      <w:marTop w:val="10"/>
      <w:marBottom w:val="10"/>
      <w:divBdr>
        <w:top w:val="none" w:sz="0" w:space="0" w:color="auto"/>
        <w:left w:val="none" w:sz="0" w:space="0" w:color="auto"/>
        <w:bottom w:val="none" w:sz="0" w:space="0" w:color="auto"/>
        <w:right w:val="none" w:sz="0" w:space="0" w:color="auto"/>
      </w:divBdr>
    </w:div>
    <w:div w:id="998583059">
      <w:marLeft w:val="0"/>
      <w:marRight w:val="720"/>
      <w:marTop w:val="10"/>
      <w:marBottom w:val="10"/>
      <w:divBdr>
        <w:top w:val="none" w:sz="0" w:space="0" w:color="auto"/>
        <w:left w:val="none" w:sz="0" w:space="0" w:color="auto"/>
        <w:bottom w:val="none" w:sz="0" w:space="0" w:color="auto"/>
        <w:right w:val="none" w:sz="0" w:space="0" w:color="auto"/>
      </w:divBdr>
    </w:div>
    <w:div w:id="1180584762">
      <w:marLeft w:val="0"/>
      <w:marRight w:val="720"/>
      <w:marTop w:val="10"/>
      <w:marBottom w:val="10"/>
      <w:divBdr>
        <w:top w:val="none" w:sz="0" w:space="0" w:color="auto"/>
        <w:left w:val="none" w:sz="0" w:space="0" w:color="auto"/>
        <w:bottom w:val="none" w:sz="0" w:space="0" w:color="auto"/>
        <w:right w:val="none" w:sz="0" w:space="0" w:color="auto"/>
      </w:divBdr>
    </w:div>
    <w:div w:id="1453862058">
      <w:marLeft w:val="0"/>
      <w:marRight w:val="0"/>
      <w:marTop w:val="10"/>
      <w:marBottom w:val="10"/>
      <w:divBdr>
        <w:top w:val="none" w:sz="0" w:space="0" w:color="auto"/>
        <w:left w:val="none" w:sz="0" w:space="0" w:color="auto"/>
        <w:bottom w:val="none" w:sz="0" w:space="0" w:color="auto"/>
        <w:right w:val="none" w:sz="0" w:space="0" w:color="auto"/>
      </w:divBdr>
    </w:div>
    <w:div w:id="1590654000">
      <w:marLeft w:val="0"/>
      <w:marRight w:val="0"/>
      <w:marTop w:val="10"/>
      <w:marBottom w:val="10"/>
      <w:divBdr>
        <w:top w:val="none" w:sz="0" w:space="0" w:color="auto"/>
        <w:left w:val="none" w:sz="0" w:space="0" w:color="auto"/>
        <w:bottom w:val="none" w:sz="0" w:space="0" w:color="auto"/>
        <w:right w:val="none" w:sz="0" w:space="0" w:color="auto"/>
      </w:divBdr>
    </w:div>
    <w:div w:id="1739328347">
      <w:marLeft w:val="0"/>
      <w:marRight w:val="0"/>
      <w:marTop w:val="10"/>
      <w:marBottom w:val="10"/>
      <w:divBdr>
        <w:top w:val="none" w:sz="0" w:space="0" w:color="auto"/>
        <w:left w:val="none" w:sz="0" w:space="0" w:color="auto"/>
        <w:bottom w:val="none" w:sz="0" w:space="0" w:color="auto"/>
        <w:right w:val="none" w:sz="0" w:space="0" w:color="auto"/>
      </w:divBdr>
    </w:div>
    <w:div w:id="1742217289">
      <w:marLeft w:val="0"/>
      <w:marRight w:val="0"/>
      <w:marTop w:val="10"/>
      <w:marBottom w:val="10"/>
      <w:divBdr>
        <w:top w:val="none" w:sz="0" w:space="0" w:color="auto"/>
        <w:left w:val="none" w:sz="0" w:space="0" w:color="auto"/>
        <w:bottom w:val="none" w:sz="0" w:space="0" w:color="auto"/>
        <w:right w:val="none" w:sz="0" w:space="0" w:color="auto"/>
      </w:divBdr>
    </w:div>
    <w:div w:id="1900096226">
      <w:marLeft w:val="0"/>
      <w:marRight w:val="0"/>
      <w:marTop w:val="10"/>
      <w:marBottom w:val="10"/>
      <w:divBdr>
        <w:top w:val="none" w:sz="0" w:space="0" w:color="auto"/>
        <w:left w:val="none" w:sz="0" w:space="0" w:color="auto"/>
        <w:bottom w:val="none" w:sz="0" w:space="0" w:color="auto"/>
        <w:right w:val="none" w:sz="0" w:space="0" w:color="auto"/>
      </w:divBdr>
    </w:div>
    <w:div w:id="2111123304">
      <w:marLeft w:val="0"/>
      <w:marRight w:val="720"/>
      <w:marTop w:val="10"/>
      <w:marBottom w:val="10"/>
      <w:divBdr>
        <w:top w:val="none" w:sz="0" w:space="0" w:color="auto"/>
        <w:left w:val="none" w:sz="0" w:space="0" w:color="auto"/>
        <w:bottom w:val="none" w:sz="0" w:space="0" w:color="auto"/>
        <w:right w:val="none" w:sz="0" w:space="0" w:color="auto"/>
      </w:divBdr>
    </w:div>
    <w:div w:id="21242260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