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F3B3C">
      <w:pPr>
        <w:spacing w:line="500" w:lineRule="atLeast"/>
        <w:jc w:val="center"/>
        <w:divId w:val="718211789"/>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DF3B3C">
      <w:pPr>
        <w:spacing w:line="500" w:lineRule="atLeast"/>
        <w:jc w:val="center"/>
        <w:divId w:val="1915969892"/>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F3B3C">
      <w:pPr>
        <w:spacing w:line="500" w:lineRule="atLeast"/>
        <w:jc w:val="right"/>
        <w:divId w:val="1286155898"/>
        <w:rPr>
          <w:rFonts w:hint="eastAsia"/>
          <w:sz w:val="30"/>
          <w:szCs w:val="30"/>
        </w:rPr>
      </w:pPr>
      <w:r>
        <w:rPr>
          <w:rFonts w:hint="eastAsia"/>
          <w:sz w:val="30"/>
          <w:szCs w:val="30"/>
        </w:rPr>
        <w:t>（</w:t>
      </w:r>
      <w:r>
        <w:rPr>
          <w:rFonts w:hint="eastAsia"/>
          <w:sz w:val="30"/>
          <w:szCs w:val="30"/>
        </w:rPr>
        <w:t>2020</w:t>
      </w:r>
      <w:r>
        <w:rPr>
          <w:rFonts w:hint="eastAsia"/>
          <w:sz w:val="30"/>
          <w:szCs w:val="30"/>
        </w:rPr>
        <w:t>）苏行申</w:t>
      </w:r>
      <w:r>
        <w:rPr>
          <w:rFonts w:hint="eastAsia"/>
          <w:sz w:val="30"/>
          <w:szCs w:val="30"/>
        </w:rPr>
        <w:t>1497</w:t>
      </w:r>
      <w:r>
        <w:rPr>
          <w:rFonts w:hint="eastAsia"/>
          <w:sz w:val="30"/>
          <w:szCs w:val="30"/>
        </w:rPr>
        <w:t>号</w:t>
      </w:r>
    </w:p>
    <w:p w:rsidR="00000000" w:rsidRDefault="00DF3B3C">
      <w:pPr>
        <w:spacing w:line="500" w:lineRule="atLeast"/>
        <w:ind w:firstLine="600"/>
        <w:divId w:val="463280538"/>
        <w:rPr>
          <w:rFonts w:hint="eastAsia"/>
          <w:sz w:val="30"/>
          <w:szCs w:val="30"/>
        </w:rPr>
      </w:pPr>
      <w:r>
        <w:rPr>
          <w:rFonts w:hint="eastAsia"/>
          <w:sz w:val="30"/>
          <w:szCs w:val="30"/>
        </w:rPr>
        <w:t>再审申请人（一审原告、二审上诉人）常旺喜，男，汉族，户籍地安徽省濉溪县。</w:t>
      </w:r>
    </w:p>
    <w:p w:rsidR="00000000" w:rsidRDefault="00DF3B3C">
      <w:pPr>
        <w:spacing w:line="500" w:lineRule="atLeast"/>
        <w:ind w:firstLine="600"/>
        <w:divId w:val="702363364"/>
        <w:rPr>
          <w:rFonts w:hint="eastAsia"/>
          <w:sz w:val="30"/>
          <w:szCs w:val="30"/>
        </w:rPr>
      </w:pPr>
      <w:r>
        <w:rPr>
          <w:rFonts w:hint="eastAsia"/>
          <w:sz w:val="30"/>
          <w:szCs w:val="30"/>
        </w:rPr>
        <w:t>委托代理人潘连诗，江苏盐龙律师事务所律师。</w:t>
      </w:r>
    </w:p>
    <w:p w:rsidR="00000000" w:rsidRDefault="00DF3B3C">
      <w:pPr>
        <w:spacing w:line="500" w:lineRule="atLeast"/>
        <w:ind w:firstLine="600"/>
        <w:divId w:val="1943872339"/>
        <w:rPr>
          <w:rFonts w:hint="eastAsia"/>
          <w:sz w:val="30"/>
          <w:szCs w:val="30"/>
        </w:rPr>
      </w:pPr>
      <w:r>
        <w:rPr>
          <w:rFonts w:hint="eastAsia"/>
          <w:sz w:val="30"/>
          <w:szCs w:val="30"/>
        </w:rPr>
        <w:t>被申请人（一审被告、二审被上诉人）滨海县人力资源和社会保障局，住所地江苏省滨海县人民中路</w:t>
      </w:r>
      <w:r>
        <w:rPr>
          <w:rFonts w:hint="eastAsia"/>
          <w:sz w:val="30"/>
          <w:szCs w:val="30"/>
        </w:rPr>
        <w:t>170</w:t>
      </w:r>
      <w:r>
        <w:rPr>
          <w:rFonts w:hint="eastAsia"/>
          <w:sz w:val="30"/>
          <w:szCs w:val="30"/>
        </w:rPr>
        <w:t>号。</w:t>
      </w:r>
    </w:p>
    <w:p w:rsidR="00000000" w:rsidRDefault="00DF3B3C">
      <w:pPr>
        <w:spacing w:line="500" w:lineRule="atLeast"/>
        <w:ind w:firstLine="600"/>
        <w:divId w:val="1120880913"/>
        <w:rPr>
          <w:rFonts w:hint="eastAsia"/>
          <w:sz w:val="30"/>
          <w:szCs w:val="30"/>
        </w:rPr>
      </w:pPr>
      <w:r>
        <w:rPr>
          <w:rFonts w:hint="eastAsia"/>
          <w:sz w:val="30"/>
          <w:szCs w:val="30"/>
        </w:rPr>
        <w:t>法定代表人吕连峰，该局局长。</w:t>
      </w:r>
    </w:p>
    <w:p w:rsidR="00000000" w:rsidRDefault="00DF3B3C">
      <w:pPr>
        <w:spacing w:line="500" w:lineRule="atLeast"/>
        <w:ind w:firstLine="600"/>
        <w:divId w:val="1049109367"/>
        <w:rPr>
          <w:rFonts w:hint="eastAsia"/>
          <w:sz w:val="30"/>
          <w:szCs w:val="30"/>
        </w:rPr>
      </w:pPr>
      <w:r>
        <w:rPr>
          <w:rFonts w:hint="eastAsia"/>
          <w:sz w:val="30"/>
          <w:szCs w:val="30"/>
        </w:rPr>
        <w:t>委托代理人王岸，该局工伤保险科副科长。</w:t>
      </w:r>
    </w:p>
    <w:p w:rsidR="00000000" w:rsidRDefault="00DF3B3C">
      <w:pPr>
        <w:spacing w:line="500" w:lineRule="atLeast"/>
        <w:ind w:firstLine="600"/>
        <w:divId w:val="249587181"/>
        <w:rPr>
          <w:rFonts w:hint="eastAsia"/>
          <w:sz w:val="30"/>
          <w:szCs w:val="30"/>
        </w:rPr>
      </w:pPr>
      <w:r>
        <w:rPr>
          <w:rFonts w:hint="eastAsia"/>
          <w:sz w:val="30"/>
          <w:szCs w:val="30"/>
        </w:rPr>
        <w:t>委托代理人李明广，江苏民和众律师事务所律师。</w:t>
      </w:r>
    </w:p>
    <w:p w:rsidR="00000000" w:rsidRDefault="00DF3B3C">
      <w:pPr>
        <w:spacing w:line="500" w:lineRule="atLeast"/>
        <w:ind w:firstLine="600"/>
        <w:divId w:val="1366757484"/>
        <w:rPr>
          <w:rFonts w:hint="eastAsia"/>
          <w:sz w:val="30"/>
          <w:szCs w:val="30"/>
        </w:rPr>
      </w:pPr>
      <w:r>
        <w:rPr>
          <w:rFonts w:hint="eastAsia"/>
          <w:sz w:val="30"/>
          <w:szCs w:val="30"/>
        </w:rPr>
        <w:t>再审申请人常旺喜因诉滨海县人力资源和社会保障局工伤行政确认一案</w:t>
      </w:r>
      <w:r>
        <w:rPr>
          <w:rFonts w:hint="eastAsia"/>
          <w:sz w:val="30"/>
          <w:szCs w:val="30"/>
        </w:rPr>
        <w:t>,</w:t>
      </w:r>
      <w:r>
        <w:rPr>
          <w:rFonts w:hint="eastAsia"/>
          <w:sz w:val="30"/>
          <w:szCs w:val="30"/>
        </w:rPr>
        <w:t>不服江苏省盐城市中级人民法院（</w:t>
      </w:r>
      <w:r>
        <w:rPr>
          <w:rFonts w:hint="eastAsia"/>
          <w:sz w:val="30"/>
          <w:szCs w:val="30"/>
        </w:rPr>
        <w:t>2020</w:t>
      </w:r>
      <w:r>
        <w:rPr>
          <w:rFonts w:hint="eastAsia"/>
          <w:sz w:val="30"/>
          <w:szCs w:val="30"/>
        </w:rPr>
        <w:t>）苏</w:t>
      </w:r>
      <w:r>
        <w:rPr>
          <w:rFonts w:hint="eastAsia"/>
          <w:sz w:val="30"/>
          <w:szCs w:val="30"/>
        </w:rPr>
        <w:t>09</w:t>
      </w:r>
      <w:r>
        <w:rPr>
          <w:rFonts w:hint="eastAsia"/>
          <w:sz w:val="30"/>
          <w:szCs w:val="30"/>
        </w:rPr>
        <w:t>行终</w:t>
      </w:r>
      <w:r>
        <w:rPr>
          <w:rFonts w:hint="eastAsia"/>
          <w:sz w:val="30"/>
          <w:szCs w:val="30"/>
        </w:rPr>
        <w:t>149</w:t>
      </w:r>
      <w:r>
        <w:rPr>
          <w:rFonts w:hint="eastAsia"/>
          <w:sz w:val="30"/>
          <w:szCs w:val="30"/>
        </w:rPr>
        <w:t>号行政判决，向本院申请再审。本院依法组成合议庭对本案进行了审查，现已审查终结。</w:t>
      </w:r>
    </w:p>
    <w:p w:rsidR="00000000" w:rsidRDefault="00DF3B3C">
      <w:pPr>
        <w:spacing w:line="500" w:lineRule="atLeast"/>
        <w:ind w:firstLine="600"/>
        <w:divId w:val="55933452"/>
        <w:rPr>
          <w:rFonts w:hint="eastAsia"/>
          <w:sz w:val="30"/>
          <w:szCs w:val="30"/>
        </w:rPr>
      </w:pPr>
      <w:r>
        <w:rPr>
          <w:rFonts w:hint="eastAsia"/>
          <w:sz w:val="30"/>
          <w:szCs w:val="30"/>
        </w:rPr>
        <w:t>申请人常旺喜申请再审称：原审判决认定事实与适用法律均错误。申请人</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受伤后到滨海头罾医院治疗未好转，江苏托球农化股份有限公司（以下简称托球公司）将申请人送至盐城市第一人民医院治疗，出院后托球公司将申请人在两家医院治疗的各项材料取走，医院也拒绝向申请人提供，导致申请人无法申报工伤。申请人在事故发生</w:t>
      </w:r>
      <w:r>
        <w:rPr>
          <w:rFonts w:hint="eastAsia"/>
          <w:sz w:val="30"/>
          <w:szCs w:val="30"/>
        </w:rPr>
        <w:t>后一直在主张权利，直至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日盐城市医学会出具盐城医鉴</w:t>
      </w:r>
      <w:r>
        <w:rPr>
          <w:rFonts w:hint="eastAsia"/>
          <w:sz w:val="30"/>
          <w:szCs w:val="30"/>
        </w:rPr>
        <w:t>[2019]11</w:t>
      </w:r>
      <w:r>
        <w:rPr>
          <w:rFonts w:hint="eastAsia"/>
          <w:sz w:val="30"/>
          <w:szCs w:val="30"/>
        </w:rPr>
        <w:t>号《医疗事故技术鉴定书》，申请人才知道权益被侵害。滨海头罾医院也出具《证明》证明申请人于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日因化学药物烧伤在该院治疗。《工伤保险条例》第十七条第二款的规定对于受伤职工不是义务而是权利。申请人有正当理由证明在法定期限内并未怠于行使权利。被申请人对超过申</w:t>
      </w:r>
      <w:r>
        <w:rPr>
          <w:rFonts w:hint="eastAsia"/>
          <w:sz w:val="30"/>
          <w:szCs w:val="30"/>
        </w:rPr>
        <w:lastRenderedPageBreak/>
        <w:t>请时限的工伤认定申请，应当查明是否具有导致申请时效中止、中断的事由和情形，进而作出是否受理的决定。二审法院未经庭审作出判决，程序违法。请求本院撤销原审判决并依法改判</w:t>
      </w:r>
      <w:r>
        <w:rPr>
          <w:rFonts w:hint="eastAsia"/>
          <w:sz w:val="30"/>
          <w:szCs w:val="30"/>
        </w:rPr>
        <w:t>。</w:t>
      </w:r>
    </w:p>
    <w:p w:rsidR="00000000" w:rsidRDefault="00DF3B3C">
      <w:pPr>
        <w:spacing w:line="500" w:lineRule="atLeast"/>
        <w:ind w:firstLine="600"/>
        <w:divId w:val="1324243043"/>
        <w:rPr>
          <w:rFonts w:hint="eastAsia"/>
          <w:sz w:val="30"/>
          <w:szCs w:val="30"/>
        </w:rPr>
      </w:pPr>
      <w:r>
        <w:rPr>
          <w:rFonts w:hint="eastAsia"/>
          <w:sz w:val="30"/>
          <w:szCs w:val="30"/>
        </w:rPr>
        <w:t>本院认为，《工伤保险条例》第十七条第二款规定，用人单位未按前款规定提出工伤认定申请的，工伤职工或者其近亲属、工会组织在事故伤害发生之日或者被诊断、鉴定为职业病之日起</w:t>
      </w:r>
      <w:r>
        <w:rPr>
          <w:rFonts w:hint="eastAsia"/>
          <w:sz w:val="30"/>
          <w:szCs w:val="30"/>
        </w:rPr>
        <w:t>1</w:t>
      </w:r>
      <w:r>
        <w:rPr>
          <w:rFonts w:hint="eastAsia"/>
          <w:sz w:val="30"/>
          <w:szCs w:val="30"/>
        </w:rPr>
        <w:t>年内，可以直接向用人单位所在地统筹地区社会保险行政部门提出工伤认定申请。《最高人民法院关于审理工伤保险行政案件若干问题的规定》第七条第一款规定，由于不属于职工或者其近亲属自身原因超过工伤认定申请期限的，被耽误的时间不计算在工伤认定申请期限内。第二款规定，有下列情形之一耽误申请时间的，应当认定为不属于职工或者其近亲属自身原因：（一）不可抗力；</w:t>
      </w:r>
      <w:r>
        <w:rPr>
          <w:rFonts w:hint="eastAsia"/>
          <w:sz w:val="30"/>
          <w:szCs w:val="30"/>
        </w:rPr>
        <w:t>（二）人身自由受到限制；（三）属于用人单位原因；（四）社会保险行政部门登记制度不完善；（五）当事人对是否存在劳动关系申请仲裁、提起民事诉讼。根据上述规定，工伤认定申请期限自事故伤害发生之日起算，如由于不属于职工或者其近亲属自身原因超过工伤认定申请期限的，被耽误的时间不计算在工伤认定申请期限内。本案中，申请人自述其系</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日在工作中因化工原料洒到右足受伤，并提交了滨海头罾医院出具的《证明》。滨海头罾医院出具的《证明》无经办人或负责人签字，亦无病历资料印证，即使该《证明》内容属实，结合申请人的自述，</w:t>
      </w:r>
      <w:r>
        <w:rPr>
          <w:rFonts w:hint="eastAsia"/>
          <w:sz w:val="30"/>
          <w:szCs w:val="30"/>
        </w:rPr>
        <w:t>其主张的事故发生之日为</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日，但申请人直至</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日才向被申请人提出工伤认定申请。申请人虽主张其未及时提出工伤认定申请有合理理由，但未提交证据证明其存在《最高人民法院关于审理工伤保险行政案件若干问题的规</w:t>
      </w:r>
      <w:r>
        <w:rPr>
          <w:rFonts w:hint="eastAsia"/>
          <w:sz w:val="30"/>
          <w:szCs w:val="30"/>
        </w:rPr>
        <w:lastRenderedPageBreak/>
        <w:t>定》第七条第二款规定的情形。被申请人对申请人提出的工伤认定申请作出滨人社工不予受理字［</w:t>
      </w:r>
      <w:r>
        <w:rPr>
          <w:rFonts w:hint="eastAsia"/>
          <w:sz w:val="30"/>
          <w:szCs w:val="30"/>
        </w:rPr>
        <w:t>2019</w:t>
      </w:r>
      <w:r>
        <w:rPr>
          <w:rFonts w:hint="eastAsia"/>
          <w:sz w:val="30"/>
          <w:szCs w:val="30"/>
        </w:rPr>
        <w:t>］第</w:t>
      </w:r>
      <w:r>
        <w:rPr>
          <w:rFonts w:hint="eastAsia"/>
          <w:sz w:val="30"/>
          <w:szCs w:val="30"/>
        </w:rPr>
        <w:t>1</w:t>
      </w:r>
      <w:r>
        <w:rPr>
          <w:rFonts w:hint="eastAsia"/>
          <w:sz w:val="30"/>
          <w:szCs w:val="30"/>
        </w:rPr>
        <w:t>号工伤认定申请不予受理决定书，并无不当。原审法院判决驳回申请人要求撤销被申请人作出的滨人社工不予受理字［</w:t>
      </w:r>
      <w:r>
        <w:rPr>
          <w:rFonts w:hint="eastAsia"/>
          <w:sz w:val="30"/>
          <w:szCs w:val="30"/>
        </w:rPr>
        <w:t>2019</w:t>
      </w:r>
      <w:r>
        <w:rPr>
          <w:rFonts w:hint="eastAsia"/>
          <w:sz w:val="30"/>
          <w:szCs w:val="30"/>
        </w:rPr>
        <w:t>］第</w:t>
      </w:r>
      <w:r>
        <w:rPr>
          <w:rFonts w:hint="eastAsia"/>
          <w:sz w:val="30"/>
          <w:szCs w:val="30"/>
        </w:rPr>
        <w:t>1</w:t>
      </w:r>
      <w:r>
        <w:rPr>
          <w:rFonts w:hint="eastAsia"/>
          <w:sz w:val="30"/>
          <w:szCs w:val="30"/>
        </w:rPr>
        <w:t>号工伤认定申请不予受理决定书并责令被申请人依法重新作出具体行政行为</w:t>
      </w:r>
      <w:r>
        <w:rPr>
          <w:rFonts w:hint="eastAsia"/>
          <w:sz w:val="30"/>
          <w:szCs w:val="30"/>
        </w:rPr>
        <w:t>的诉讼请求，亦无不当。</w:t>
      </w:r>
    </w:p>
    <w:p w:rsidR="00000000" w:rsidRDefault="00DF3B3C">
      <w:pPr>
        <w:spacing w:line="500" w:lineRule="atLeast"/>
        <w:ind w:firstLine="600"/>
        <w:divId w:val="1572429528"/>
        <w:rPr>
          <w:rFonts w:hint="eastAsia"/>
          <w:sz w:val="30"/>
          <w:szCs w:val="30"/>
        </w:rPr>
      </w:pPr>
      <w:r>
        <w:rPr>
          <w:rFonts w:hint="eastAsia"/>
          <w:sz w:val="30"/>
          <w:szCs w:val="30"/>
        </w:rPr>
        <w:t>《中华人民共和国行政诉讼法》第八十六条规定，人民法院对上诉案件，应当组成合议庭，开庭审理。经过阅卷、调查和询问当事人，对没有提出新的事实、证据或者理由，合议庭认为不需要开庭审理的，也可以不开庭审理。根据该条规定，开庭审理并非是第二审人民法院审理行政案件的必经程序，申请人仅以二审法院未开庭审理为由，主张二审程序违法，不能成立。</w:t>
      </w:r>
    </w:p>
    <w:p w:rsidR="00000000" w:rsidRDefault="00DF3B3C">
      <w:pPr>
        <w:spacing w:line="500" w:lineRule="atLeast"/>
        <w:ind w:firstLine="600"/>
        <w:divId w:val="940339506"/>
        <w:rPr>
          <w:rFonts w:hint="eastAsia"/>
          <w:sz w:val="30"/>
          <w:szCs w:val="30"/>
        </w:rPr>
      </w:pPr>
      <w:r>
        <w:rPr>
          <w:rFonts w:hint="eastAsia"/>
          <w:sz w:val="30"/>
          <w:szCs w:val="30"/>
        </w:rPr>
        <w:t>综上，常旺喜的再审申请不符合《中华人民共和国行政诉讼法》第九十一条规定的情形。依照《最高人民法院关于适用〈中华人民共和国行政诉讼法〉的解释》第一百一十六条第二款</w:t>
      </w:r>
      <w:r>
        <w:rPr>
          <w:rFonts w:hint="eastAsia"/>
          <w:sz w:val="30"/>
          <w:szCs w:val="30"/>
        </w:rPr>
        <w:t>的规定，裁定如下：</w:t>
      </w:r>
    </w:p>
    <w:p w:rsidR="00000000" w:rsidRDefault="00DF3B3C">
      <w:pPr>
        <w:spacing w:line="500" w:lineRule="atLeast"/>
        <w:ind w:firstLine="600"/>
        <w:divId w:val="1106651822"/>
        <w:rPr>
          <w:rFonts w:hint="eastAsia"/>
          <w:sz w:val="30"/>
          <w:szCs w:val="30"/>
        </w:rPr>
      </w:pPr>
      <w:r>
        <w:rPr>
          <w:rFonts w:hint="eastAsia"/>
          <w:sz w:val="30"/>
          <w:szCs w:val="30"/>
        </w:rPr>
        <w:t>驳回常旺喜的再审申请。</w:t>
      </w:r>
    </w:p>
    <w:p w:rsidR="00000000" w:rsidRDefault="00DF3B3C">
      <w:pPr>
        <w:spacing w:line="500" w:lineRule="atLeast"/>
        <w:jc w:val="right"/>
        <w:divId w:val="1585531013"/>
        <w:rPr>
          <w:rFonts w:hint="eastAsia"/>
          <w:sz w:val="30"/>
          <w:szCs w:val="30"/>
        </w:rPr>
      </w:pPr>
      <w:r>
        <w:rPr>
          <w:rFonts w:hint="eastAsia"/>
          <w:sz w:val="30"/>
          <w:szCs w:val="30"/>
        </w:rPr>
        <w:t>审判长　　郑琳琳</w:t>
      </w:r>
    </w:p>
    <w:p w:rsidR="00000000" w:rsidRDefault="00DF3B3C">
      <w:pPr>
        <w:spacing w:line="500" w:lineRule="atLeast"/>
        <w:jc w:val="right"/>
        <w:divId w:val="722560990"/>
        <w:rPr>
          <w:rFonts w:hint="eastAsia"/>
          <w:sz w:val="30"/>
          <w:szCs w:val="30"/>
        </w:rPr>
      </w:pPr>
      <w:r>
        <w:rPr>
          <w:rFonts w:hint="eastAsia"/>
          <w:sz w:val="30"/>
          <w:szCs w:val="30"/>
        </w:rPr>
        <w:t>审判员　　季　芳</w:t>
      </w:r>
    </w:p>
    <w:p w:rsidR="00000000" w:rsidRDefault="00DF3B3C">
      <w:pPr>
        <w:spacing w:line="500" w:lineRule="atLeast"/>
        <w:jc w:val="right"/>
        <w:divId w:val="1256286188"/>
        <w:rPr>
          <w:rFonts w:hint="eastAsia"/>
          <w:sz w:val="30"/>
          <w:szCs w:val="30"/>
        </w:rPr>
      </w:pPr>
      <w:r>
        <w:rPr>
          <w:rFonts w:hint="eastAsia"/>
          <w:sz w:val="30"/>
          <w:szCs w:val="30"/>
        </w:rPr>
        <w:t>审判员　　陆轶群</w:t>
      </w:r>
    </w:p>
    <w:p w:rsidR="00000000" w:rsidRDefault="00DF3B3C">
      <w:pPr>
        <w:spacing w:line="500" w:lineRule="atLeast"/>
        <w:jc w:val="right"/>
        <w:divId w:val="2022581949"/>
        <w:rPr>
          <w:rFonts w:hint="eastAsia"/>
          <w:sz w:val="30"/>
          <w:szCs w:val="30"/>
        </w:rPr>
      </w:pPr>
      <w:r>
        <w:rPr>
          <w:rFonts w:hint="eastAsia"/>
          <w:sz w:val="30"/>
          <w:szCs w:val="30"/>
        </w:rPr>
        <w:t>二〇二〇年十二月十一日</w:t>
      </w:r>
    </w:p>
    <w:p w:rsidR="00000000" w:rsidRDefault="00DF3B3C">
      <w:pPr>
        <w:spacing w:line="500" w:lineRule="atLeast"/>
        <w:jc w:val="right"/>
        <w:divId w:val="928808702"/>
        <w:rPr>
          <w:rFonts w:hint="eastAsia"/>
          <w:sz w:val="30"/>
          <w:szCs w:val="30"/>
        </w:rPr>
      </w:pPr>
      <w:r>
        <w:rPr>
          <w:rFonts w:hint="eastAsia"/>
          <w:sz w:val="30"/>
          <w:szCs w:val="30"/>
        </w:rPr>
        <w:t>书记员　　钱伟红</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B3C" w:rsidRDefault="00DF3B3C" w:rsidP="00DF3B3C">
      <w:r>
        <w:separator/>
      </w:r>
    </w:p>
  </w:endnote>
  <w:endnote w:type="continuationSeparator" w:id="0">
    <w:p w:rsidR="00DF3B3C" w:rsidRDefault="00DF3B3C" w:rsidP="00DF3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B3C" w:rsidRDefault="00DF3B3C" w:rsidP="00DF3B3C">
      <w:r>
        <w:separator/>
      </w:r>
    </w:p>
  </w:footnote>
  <w:footnote w:type="continuationSeparator" w:id="0">
    <w:p w:rsidR="00DF3B3C" w:rsidRDefault="00DF3B3C" w:rsidP="00DF3B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F3B3C"/>
    <w:rsid w:val="00DF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F3B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3B3C"/>
    <w:rPr>
      <w:rFonts w:ascii="宋体" w:eastAsia="宋体" w:hAnsi="宋体" w:cs="宋体"/>
      <w:sz w:val="18"/>
      <w:szCs w:val="18"/>
    </w:rPr>
  </w:style>
  <w:style w:type="paragraph" w:styleId="a5">
    <w:name w:val="footer"/>
    <w:basedOn w:val="a"/>
    <w:link w:val="a6"/>
    <w:uiPriority w:val="99"/>
    <w:unhideWhenUsed/>
    <w:rsid w:val="00DF3B3C"/>
    <w:pPr>
      <w:tabs>
        <w:tab w:val="center" w:pos="4153"/>
        <w:tab w:val="right" w:pos="8306"/>
      </w:tabs>
      <w:snapToGrid w:val="0"/>
    </w:pPr>
    <w:rPr>
      <w:sz w:val="18"/>
      <w:szCs w:val="18"/>
    </w:rPr>
  </w:style>
  <w:style w:type="character" w:customStyle="1" w:styleId="a6">
    <w:name w:val="页脚 字符"/>
    <w:basedOn w:val="a0"/>
    <w:link w:val="a5"/>
    <w:uiPriority w:val="99"/>
    <w:rsid w:val="00DF3B3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3452">
      <w:marLeft w:val="0"/>
      <w:marRight w:val="0"/>
      <w:marTop w:val="10"/>
      <w:marBottom w:val="10"/>
      <w:divBdr>
        <w:top w:val="none" w:sz="0" w:space="0" w:color="auto"/>
        <w:left w:val="none" w:sz="0" w:space="0" w:color="auto"/>
        <w:bottom w:val="none" w:sz="0" w:space="0" w:color="auto"/>
        <w:right w:val="none" w:sz="0" w:space="0" w:color="auto"/>
      </w:divBdr>
    </w:div>
    <w:div w:id="249587181">
      <w:marLeft w:val="0"/>
      <w:marRight w:val="0"/>
      <w:marTop w:val="10"/>
      <w:marBottom w:val="10"/>
      <w:divBdr>
        <w:top w:val="none" w:sz="0" w:space="0" w:color="auto"/>
        <w:left w:val="none" w:sz="0" w:space="0" w:color="auto"/>
        <w:bottom w:val="none" w:sz="0" w:space="0" w:color="auto"/>
        <w:right w:val="none" w:sz="0" w:space="0" w:color="auto"/>
      </w:divBdr>
    </w:div>
    <w:div w:id="463280538">
      <w:marLeft w:val="0"/>
      <w:marRight w:val="0"/>
      <w:marTop w:val="10"/>
      <w:marBottom w:val="10"/>
      <w:divBdr>
        <w:top w:val="none" w:sz="0" w:space="0" w:color="auto"/>
        <w:left w:val="none" w:sz="0" w:space="0" w:color="auto"/>
        <w:bottom w:val="none" w:sz="0" w:space="0" w:color="auto"/>
        <w:right w:val="none" w:sz="0" w:space="0" w:color="auto"/>
      </w:divBdr>
    </w:div>
    <w:div w:id="702363364">
      <w:marLeft w:val="0"/>
      <w:marRight w:val="0"/>
      <w:marTop w:val="10"/>
      <w:marBottom w:val="10"/>
      <w:divBdr>
        <w:top w:val="none" w:sz="0" w:space="0" w:color="auto"/>
        <w:left w:val="none" w:sz="0" w:space="0" w:color="auto"/>
        <w:bottom w:val="none" w:sz="0" w:space="0" w:color="auto"/>
        <w:right w:val="none" w:sz="0" w:space="0" w:color="auto"/>
      </w:divBdr>
    </w:div>
    <w:div w:id="718211789">
      <w:marLeft w:val="0"/>
      <w:marRight w:val="0"/>
      <w:marTop w:val="10"/>
      <w:marBottom w:val="10"/>
      <w:divBdr>
        <w:top w:val="none" w:sz="0" w:space="0" w:color="auto"/>
        <w:left w:val="none" w:sz="0" w:space="0" w:color="auto"/>
        <w:bottom w:val="none" w:sz="0" w:space="0" w:color="auto"/>
        <w:right w:val="none" w:sz="0" w:space="0" w:color="auto"/>
      </w:divBdr>
    </w:div>
    <w:div w:id="722560990">
      <w:marLeft w:val="0"/>
      <w:marRight w:val="720"/>
      <w:marTop w:val="10"/>
      <w:marBottom w:val="10"/>
      <w:divBdr>
        <w:top w:val="none" w:sz="0" w:space="0" w:color="auto"/>
        <w:left w:val="none" w:sz="0" w:space="0" w:color="auto"/>
        <w:bottom w:val="none" w:sz="0" w:space="0" w:color="auto"/>
        <w:right w:val="none" w:sz="0" w:space="0" w:color="auto"/>
      </w:divBdr>
    </w:div>
    <w:div w:id="928808702">
      <w:marLeft w:val="0"/>
      <w:marRight w:val="720"/>
      <w:marTop w:val="10"/>
      <w:marBottom w:val="10"/>
      <w:divBdr>
        <w:top w:val="none" w:sz="0" w:space="0" w:color="auto"/>
        <w:left w:val="none" w:sz="0" w:space="0" w:color="auto"/>
        <w:bottom w:val="none" w:sz="0" w:space="0" w:color="auto"/>
        <w:right w:val="none" w:sz="0" w:space="0" w:color="auto"/>
      </w:divBdr>
    </w:div>
    <w:div w:id="940339506">
      <w:marLeft w:val="0"/>
      <w:marRight w:val="0"/>
      <w:marTop w:val="10"/>
      <w:marBottom w:val="10"/>
      <w:divBdr>
        <w:top w:val="none" w:sz="0" w:space="0" w:color="auto"/>
        <w:left w:val="none" w:sz="0" w:space="0" w:color="auto"/>
        <w:bottom w:val="none" w:sz="0" w:space="0" w:color="auto"/>
        <w:right w:val="none" w:sz="0" w:space="0" w:color="auto"/>
      </w:divBdr>
    </w:div>
    <w:div w:id="1049109367">
      <w:marLeft w:val="0"/>
      <w:marRight w:val="0"/>
      <w:marTop w:val="10"/>
      <w:marBottom w:val="10"/>
      <w:divBdr>
        <w:top w:val="none" w:sz="0" w:space="0" w:color="auto"/>
        <w:left w:val="none" w:sz="0" w:space="0" w:color="auto"/>
        <w:bottom w:val="none" w:sz="0" w:space="0" w:color="auto"/>
        <w:right w:val="none" w:sz="0" w:space="0" w:color="auto"/>
      </w:divBdr>
    </w:div>
    <w:div w:id="1106651822">
      <w:marLeft w:val="0"/>
      <w:marRight w:val="0"/>
      <w:marTop w:val="10"/>
      <w:marBottom w:val="10"/>
      <w:divBdr>
        <w:top w:val="none" w:sz="0" w:space="0" w:color="auto"/>
        <w:left w:val="none" w:sz="0" w:space="0" w:color="auto"/>
        <w:bottom w:val="none" w:sz="0" w:space="0" w:color="auto"/>
        <w:right w:val="none" w:sz="0" w:space="0" w:color="auto"/>
      </w:divBdr>
    </w:div>
    <w:div w:id="1120880913">
      <w:marLeft w:val="0"/>
      <w:marRight w:val="0"/>
      <w:marTop w:val="10"/>
      <w:marBottom w:val="10"/>
      <w:divBdr>
        <w:top w:val="none" w:sz="0" w:space="0" w:color="auto"/>
        <w:left w:val="none" w:sz="0" w:space="0" w:color="auto"/>
        <w:bottom w:val="none" w:sz="0" w:space="0" w:color="auto"/>
        <w:right w:val="none" w:sz="0" w:space="0" w:color="auto"/>
      </w:divBdr>
    </w:div>
    <w:div w:id="1256286188">
      <w:marLeft w:val="0"/>
      <w:marRight w:val="720"/>
      <w:marTop w:val="10"/>
      <w:marBottom w:val="10"/>
      <w:divBdr>
        <w:top w:val="none" w:sz="0" w:space="0" w:color="auto"/>
        <w:left w:val="none" w:sz="0" w:space="0" w:color="auto"/>
        <w:bottom w:val="none" w:sz="0" w:space="0" w:color="auto"/>
        <w:right w:val="none" w:sz="0" w:space="0" w:color="auto"/>
      </w:divBdr>
    </w:div>
    <w:div w:id="1286155898">
      <w:marLeft w:val="0"/>
      <w:marRight w:val="0"/>
      <w:marTop w:val="10"/>
      <w:marBottom w:val="10"/>
      <w:divBdr>
        <w:top w:val="none" w:sz="0" w:space="0" w:color="auto"/>
        <w:left w:val="none" w:sz="0" w:space="0" w:color="auto"/>
        <w:bottom w:val="none" w:sz="0" w:space="0" w:color="auto"/>
        <w:right w:val="none" w:sz="0" w:space="0" w:color="auto"/>
      </w:divBdr>
    </w:div>
    <w:div w:id="1324243043">
      <w:marLeft w:val="0"/>
      <w:marRight w:val="0"/>
      <w:marTop w:val="10"/>
      <w:marBottom w:val="10"/>
      <w:divBdr>
        <w:top w:val="none" w:sz="0" w:space="0" w:color="auto"/>
        <w:left w:val="none" w:sz="0" w:space="0" w:color="auto"/>
        <w:bottom w:val="none" w:sz="0" w:space="0" w:color="auto"/>
        <w:right w:val="none" w:sz="0" w:space="0" w:color="auto"/>
      </w:divBdr>
    </w:div>
    <w:div w:id="1366757484">
      <w:marLeft w:val="0"/>
      <w:marRight w:val="0"/>
      <w:marTop w:val="10"/>
      <w:marBottom w:val="10"/>
      <w:divBdr>
        <w:top w:val="none" w:sz="0" w:space="0" w:color="auto"/>
        <w:left w:val="none" w:sz="0" w:space="0" w:color="auto"/>
        <w:bottom w:val="none" w:sz="0" w:space="0" w:color="auto"/>
        <w:right w:val="none" w:sz="0" w:space="0" w:color="auto"/>
      </w:divBdr>
    </w:div>
    <w:div w:id="1572429528">
      <w:marLeft w:val="0"/>
      <w:marRight w:val="0"/>
      <w:marTop w:val="10"/>
      <w:marBottom w:val="10"/>
      <w:divBdr>
        <w:top w:val="none" w:sz="0" w:space="0" w:color="auto"/>
        <w:left w:val="none" w:sz="0" w:space="0" w:color="auto"/>
        <w:bottom w:val="none" w:sz="0" w:space="0" w:color="auto"/>
        <w:right w:val="none" w:sz="0" w:space="0" w:color="auto"/>
      </w:divBdr>
    </w:div>
    <w:div w:id="1585531013">
      <w:marLeft w:val="0"/>
      <w:marRight w:val="720"/>
      <w:marTop w:val="10"/>
      <w:marBottom w:val="10"/>
      <w:divBdr>
        <w:top w:val="none" w:sz="0" w:space="0" w:color="auto"/>
        <w:left w:val="none" w:sz="0" w:space="0" w:color="auto"/>
        <w:bottom w:val="none" w:sz="0" w:space="0" w:color="auto"/>
        <w:right w:val="none" w:sz="0" w:space="0" w:color="auto"/>
      </w:divBdr>
    </w:div>
    <w:div w:id="1915969892">
      <w:marLeft w:val="0"/>
      <w:marRight w:val="0"/>
      <w:marTop w:val="10"/>
      <w:marBottom w:val="10"/>
      <w:divBdr>
        <w:top w:val="none" w:sz="0" w:space="0" w:color="auto"/>
        <w:left w:val="none" w:sz="0" w:space="0" w:color="auto"/>
        <w:bottom w:val="none" w:sz="0" w:space="0" w:color="auto"/>
        <w:right w:val="none" w:sz="0" w:space="0" w:color="auto"/>
      </w:divBdr>
    </w:div>
    <w:div w:id="1943872339">
      <w:marLeft w:val="0"/>
      <w:marRight w:val="0"/>
      <w:marTop w:val="10"/>
      <w:marBottom w:val="10"/>
      <w:divBdr>
        <w:top w:val="none" w:sz="0" w:space="0" w:color="auto"/>
        <w:left w:val="none" w:sz="0" w:space="0" w:color="auto"/>
        <w:bottom w:val="none" w:sz="0" w:space="0" w:color="auto"/>
        <w:right w:val="none" w:sz="0" w:space="0" w:color="auto"/>
      </w:divBdr>
    </w:div>
    <w:div w:id="202258194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