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36592">
      <w:pPr>
        <w:spacing w:line="500" w:lineRule="atLeast"/>
        <w:jc w:val="center"/>
        <w:divId w:val="1037126167"/>
        <w:rPr>
          <w:rFonts w:ascii="黑体" w:eastAsia="黑体" w:hAnsi="黑体"/>
          <w:sz w:val="36"/>
          <w:szCs w:val="36"/>
        </w:rPr>
      </w:pPr>
      <w:bookmarkStart w:id="0" w:name="_GoBack"/>
      <w:bookmarkEnd w:id="0"/>
      <w:r>
        <w:rPr>
          <w:rFonts w:ascii="黑体" w:eastAsia="黑体" w:hAnsi="黑体" w:hint="eastAsia"/>
          <w:sz w:val="36"/>
          <w:szCs w:val="36"/>
        </w:rPr>
        <w:t>四川省高级人民法院</w:t>
      </w:r>
    </w:p>
    <w:p w:rsidR="00000000" w:rsidRDefault="00A36592">
      <w:pPr>
        <w:spacing w:line="500" w:lineRule="atLeast"/>
        <w:jc w:val="center"/>
        <w:divId w:val="179656173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36592">
      <w:pPr>
        <w:spacing w:line="500" w:lineRule="atLeast"/>
        <w:jc w:val="right"/>
        <w:divId w:val="113062025"/>
        <w:rPr>
          <w:rFonts w:hint="eastAsia"/>
          <w:sz w:val="30"/>
          <w:szCs w:val="30"/>
        </w:rPr>
      </w:pPr>
      <w:r>
        <w:rPr>
          <w:rFonts w:hint="eastAsia"/>
          <w:sz w:val="30"/>
          <w:szCs w:val="30"/>
        </w:rPr>
        <w:t>(2020)</w:t>
      </w:r>
      <w:r>
        <w:rPr>
          <w:rFonts w:hint="eastAsia"/>
          <w:sz w:val="30"/>
          <w:szCs w:val="30"/>
        </w:rPr>
        <w:t>川民申</w:t>
      </w:r>
      <w:r>
        <w:rPr>
          <w:rFonts w:hint="eastAsia"/>
          <w:sz w:val="30"/>
          <w:szCs w:val="30"/>
        </w:rPr>
        <w:t>2892</w:t>
      </w:r>
      <w:r>
        <w:rPr>
          <w:rFonts w:hint="eastAsia"/>
          <w:sz w:val="30"/>
          <w:szCs w:val="30"/>
        </w:rPr>
        <w:t>号</w:t>
      </w:r>
    </w:p>
    <w:p w:rsidR="00000000" w:rsidRDefault="00A36592">
      <w:pPr>
        <w:spacing w:line="500" w:lineRule="atLeast"/>
        <w:ind w:firstLine="600"/>
        <w:divId w:val="350643339"/>
        <w:rPr>
          <w:rFonts w:hint="eastAsia"/>
          <w:sz w:val="30"/>
          <w:szCs w:val="30"/>
        </w:rPr>
      </w:pPr>
      <w:r>
        <w:rPr>
          <w:rFonts w:hint="eastAsia"/>
          <w:sz w:val="30"/>
          <w:szCs w:val="30"/>
        </w:rPr>
        <w:t>再审申请人（一审原告、二审上诉人）：庞良全，男，</w:t>
      </w:r>
      <w:r>
        <w:rPr>
          <w:rFonts w:hint="eastAsia"/>
          <w:sz w:val="30"/>
          <w:szCs w:val="30"/>
        </w:rPr>
        <w:t>1971</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日出生，汉族，住四川省西充县。</w:t>
      </w:r>
    </w:p>
    <w:p w:rsidR="00000000" w:rsidRDefault="00A36592">
      <w:pPr>
        <w:spacing w:line="500" w:lineRule="atLeast"/>
        <w:ind w:firstLine="600"/>
        <w:divId w:val="1137261633"/>
        <w:rPr>
          <w:rFonts w:hint="eastAsia"/>
          <w:sz w:val="30"/>
          <w:szCs w:val="30"/>
        </w:rPr>
      </w:pPr>
      <w:r>
        <w:rPr>
          <w:rFonts w:hint="eastAsia"/>
          <w:sz w:val="30"/>
          <w:szCs w:val="30"/>
        </w:rPr>
        <w:t>委托诉讼代理人：冯德仲，南充市顺庆区德盛法律服务所法律工作者。</w:t>
      </w:r>
    </w:p>
    <w:p w:rsidR="00000000" w:rsidRDefault="00A36592">
      <w:pPr>
        <w:spacing w:line="500" w:lineRule="atLeast"/>
        <w:ind w:firstLine="600"/>
        <w:divId w:val="862399536"/>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：绵阳市中心医院，住所地四川省绵阳市涪城区警钟街常家巷</w:t>
      </w:r>
      <w:r>
        <w:rPr>
          <w:rFonts w:hint="eastAsia"/>
          <w:sz w:val="30"/>
          <w:szCs w:val="30"/>
        </w:rPr>
        <w:t>12</w:t>
      </w:r>
      <w:r>
        <w:rPr>
          <w:rFonts w:hint="eastAsia"/>
          <w:sz w:val="30"/>
          <w:szCs w:val="30"/>
        </w:rPr>
        <w:t>号。</w:t>
      </w:r>
    </w:p>
    <w:p w:rsidR="00000000" w:rsidRDefault="00A36592">
      <w:pPr>
        <w:spacing w:line="500" w:lineRule="atLeast"/>
        <w:ind w:firstLine="600"/>
        <w:divId w:val="1203519720"/>
        <w:rPr>
          <w:rFonts w:hint="eastAsia"/>
          <w:sz w:val="30"/>
          <w:szCs w:val="30"/>
        </w:rPr>
      </w:pPr>
      <w:r>
        <w:rPr>
          <w:rFonts w:hint="eastAsia"/>
          <w:sz w:val="30"/>
          <w:szCs w:val="30"/>
        </w:rPr>
        <w:t>法定代表人：鲜于剑波，院长。</w:t>
      </w:r>
    </w:p>
    <w:p w:rsidR="00000000" w:rsidRDefault="00A36592">
      <w:pPr>
        <w:spacing w:line="500" w:lineRule="atLeast"/>
        <w:ind w:firstLine="600"/>
        <w:divId w:val="612707179"/>
        <w:rPr>
          <w:rFonts w:hint="eastAsia"/>
          <w:sz w:val="30"/>
          <w:szCs w:val="30"/>
        </w:rPr>
      </w:pPr>
      <w:r>
        <w:rPr>
          <w:rFonts w:hint="eastAsia"/>
          <w:sz w:val="30"/>
          <w:szCs w:val="30"/>
        </w:rPr>
        <w:t>再审申请人庞良全因与被申请人绵阳市中心医院医疗损害责任纠纷一案，不服四川省绵阳市中级人民法院</w:t>
      </w:r>
      <w:r>
        <w:rPr>
          <w:rFonts w:hint="eastAsia"/>
          <w:sz w:val="30"/>
          <w:szCs w:val="30"/>
        </w:rPr>
        <w:t>(2020)</w:t>
      </w:r>
      <w:r>
        <w:rPr>
          <w:rFonts w:hint="eastAsia"/>
          <w:sz w:val="30"/>
          <w:szCs w:val="30"/>
        </w:rPr>
        <w:t>川</w:t>
      </w:r>
      <w:r>
        <w:rPr>
          <w:rFonts w:hint="eastAsia"/>
          <w:sz w:val="30"/>
          <w:szCs w:val="30"/>
        </w:rPr>
        <w:t>07</w:t>
      </w:r>
      <w:r>
        <w:rPr>
          <w:rFonts w:hint="eastAsia"/>
          <w:sz w:val="30"/>
          <w:szCs w:val="30"/>
        </w:rPr>
        <w:t>民终</w:t>
      </w:r>
      <w:r>
        <w:rPr>
          <w:rFonts w:hint="eastAsia"/>
          <w:sz w:val="30"/>
          <w:szCs w:val="30"/>
        </w:rPr>
        <w:t>439</w:t>
      </w:r>
      <w:r>
        <w:rPr>
          <w:rFonts w:hint="eastAsia"/>
          <w:sz w:val="30"/>
          <w:szCs w:val="30"/>
        </w:rPr>
        <w:t>号民事判决，依据《中华人民共和国民事诉讼法》第二百条第二项、第三项、第四项、第五项、第六项、第九项的规定，向本院申请再审。本院依法组成合议庭对本案进行了审查，现已审查终结。</w:t>
      </w:r>
    </w:p>
    <w:p w:rsidR="00000000" w:rsidRDefault="00A36592">
      <w:pPr>
        <w:spacing w:line="500" w:lineRule="atLeast"/>
        <w:ind w:firstLine="600"/>
        <w:divId w:val="1192839029"/>
        <w:rPr>
          <w:rFonts w:hint="eastAsia"/>
          <w:sz w:val="30"/>
          <w:szCs w:val="30"/>
        </w:rPr>
      </w:pPr>
      <w:r>
        <w:rPr>
          <w:rFonts w:hint="eastAsia"/>
          <w:sz w:val="30"/>
          <w:szCs w:val="30"/>
        </w:rPr>
        <w:t>本院经审查认为，本案的争议焦点是绵阳市中心医院的诊疗行为与庞良全的损害后果发生是否具有因果关系。经审查查明，虽然绵阳市医学会作出的《医疗事故技术鉴定书》载明，双方当事人医患关系成立、具有医疗过错责任，庞良全具有伤残等级</w:t>
      </w:r>
      <w:r>
        <w:rPr>
          <w:rFonts w:hint="eastAsia"/>
          <w:sz w:val="30"/>
          <w:szCs w:val="30"/>
        </w:rPr>
        <w:t>，庞良全的损害后果与绵阳市中心医院医疗过错行为具有法律上的因果关系，但庞良全起诉后又于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日撤诉，并于同月</w:t>
      </w:r>
      <w:r>
        <w:rPr>
          <w:rFonts w:hint="eastAsia"/>
          <w:sz w:val="30"/>
          <w:szCs w:val="30"/>
        </w:rPr>
        <w:t>24</w:t>
      </w:r>
      <w:r>
        <w:rPr>
          <w:rFonts w:hint="eastAsia"/>
          <w:sz w:val="30"/>
          <w:szCs w:val="30"/>
        </w:rPr>
        <w:t>日委托四川民生法医学司法鉴定所对医疗过错、伤残等级、相关医疗费用及误工、护理、营养时限进行鉴定，且庞良全此后再次起诉，系以其单方委托四川民生法医学司法鉴定所作出的《司法鉴定意见书》为据，请求绵阳市中心医院承担医疗损害责任。因该《司法鉴定意见书》系四川民生</w:t>
      </w:r>
      <w:r>
        <w:rPr>
          <w:rFonts w:hint="eastAsia"/>
          <w:sz w:val="30"/>
          <w:szCs w:val="30"/>
        </w:rPr>
        <w:lastRenderedPageBreak/>
        <w:t>法医学司法鉴定所受庞良全单方委托所作，绵阳市中心医院亦对此提出异议，并申请对其诊疗行为是否存在过错等进行重新鉴定。为此一审法院根据当事人</w:t>
      </w:r>
      <w:r>
        <w:rPr>
          <w:rFonts w:hint="eastAsia"/>
          <w:sz w:val="30"/>
          <w:szCs w:val="30"/>
        </w:rPr>
        <w:t>的申请，先后委托四川华西法医学鉴定中心、成都蓉城司法鉴定中心进行鉴定，但因送检材料无法反映被鉴定人</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日到</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日期间的伤</w:t>
      </w:r>
      <w:r>
        <w:rPr>
          <w:rFonts w:hint="eastAsia"/>
          <w:sz w:val="30"/>
          <w:szCs w:val="30"/>
        </w:rPr>
        <w:t>/</w:t>
      </w:r>
      <w:r>
        <w:rPr>
          <w:rFonts w:hint="eastAsia"/>
          <w:sz w:val="30"/>
          <w:szCs w:val="30"/>
        </w:rPr>
        <w:t>病情演变及所缺鉴定材料无法予以补充等原因，致使鉴定终止。本院注意到，虽然《终止鉴定告知书》未送达，但在一审庭审中《终止鉴定告知书》已经双方质证，并不存在剥夺其辩论权的情形，庞良全也无充分证据证明本案定案证据系伪造。故二审法院综合以上因素对《司法鉴定意见书》不予采信，并认为庞良全主张其肩关节功能障碍系绵阳市中心医院手术失误而导致的损伤缺乏充分证据证明并无不当。综上，</w:t>
      </w:r>
      <w:r>
        <w:rPr>
          <w:rFonts w:hint="eastAsia"/>
          <w:sz w:val="30"/>
          <w:szCs w:val="30"/>
        </w:rPr>
        <w:t>庞良全提出的再审申请事由不能成立。</w:t>
      </w:r>
    </w:p>
    <w:p w:rsidR="00000000" w:rsidRDefault="00A36592">
      <w:pPr>
        <w:spacing w:line="500" w:lineRule="atLeast"/>
        <w:ind w:firstLine="600"/>
        <w:divId w:val="1841651237"/>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依照《中华人民共和国民事诉讼法》第二百零四条第一款、《最高人民法院关于适用〈中华人民共和国民事诉讼法〉的解释》第三百九十五条第二款的规定，裁定如下：</w:t>
      </w:r>
    </w:p>
    <w:p w:rsidR="00000000" w:rsidRDefault="00A36592">
      <w:pPr>
        <w:spacing w:line="500" w:lineRule="atLeast"/>
        <w:ind w:firstLine="600"/>
        <w:divId w:val="1698041246"/>
        <w:rPr>
          <w:rFonts w:hint="eastAsia"/>
          <w:sz w:val="30"/>
          <w:szCs w:val="30"/>
        </w:rPr>
      </w:pPr>
      <w:r>
        <w:rPr>
          <w:rFonts w:hint="eastAsia"/>
          <w:sz w:val="30"/>
          <w:szCs w:val="30"/>
        </w:rPr>
        <w:t>驳回庞良全的再审申请。</w:t>
      </w:r>
    </w:p>
    <w:p w:rsidR="00000000" w:rsidRDefault="00A36592">
      <w:pPr>
        <w:spacing w:line="500" w:lineRule="atLeast"/>
        <w:jc w:val="right"/>
        <w:divId w:val="1610114581"/>
        <w:rPr>
          <w:rFonts w:hint="eastAsia"/>
          <w:sz w:val="30"/>
          <w:szCs w:val="30"/>
        </w:rPr>
      </w:pPr>
      <w:r>
        <w:rPr>
          <w:rFonts w:hint="eastAsia"/>
          <w:sz w:val="30"/>
          <w:szCs w:val="30"/>
        </w:rPr>
        <w:t>审判长　　张蜀俊</w:t>
      </w:r>
    </w:p>
    <w:p w:rsidR="00000000" w:rsidRDefault="00A36592">
      <w:pPr>
        <w:spacing w:line="500" w:lineRule="atLeast"/>
        <w:jc w:val="right"/>
        <w:divId w:val="1333995059"/>
        <w:rPr>
          <w:rFonts w:hint="eastAsia"/>
          <w:sz w:val="30"/>
          <w:szCs w:val="30"/>
        </w:rPr>
      </w:pPr>
      <w:r>
        <w:rPr>
          <w:rFonts w:hint="eastAsia"/>
          <w:sz w:val="30"/>
          <w:szCs w:val="30"/>
        </w:rPr>
        <w:t>审判员　　张　忠</w:t>
      </w:r>
    </w:p>
    <w:p w:rsidR="00000000" w:rsidRDefault="00A36592">
      <w:pPr>
        <w:spacing w:line="500" w:lineRule="atLeast"/>
        <w:jc w:val="right"/>
        <w:divId w:val="2067139428"/>
        <w:rPr>
          <w:rFonts w:hint="eastAsia"/>
          <w:sz w:val="30"/>
          <w:szCs w:val="30"/>
        </w:rPr>
      </w:pPr>
      <w:r>
        <w:rPr>
          <w:rFonts w:hint="eastAsia"/>
          <w:sz w:val="30"/>
          <w:szCs w:val="30"/>
        </w:rPr>
        <w:t>审判员　　何　雪</w:t>
      </w:r>
    </w:p>
    <w:p w:rsidR="00000000" w:rsidRDefault="00A36592">
      <w:pPr>
        <w:spacing w:line="500" w:lineRule="atLeast"/>
        <w:jc w:val="right"/>
        <w:divId w:val="1953854457"/>
        <w:rPr>
          <w:rFonts w:hint="eastAsia"/>
          <w:sz w:val="30"/>
          <w:szCs w:val="30"/>
        </w:rPr>
      </w:pPr>
      <w:r>
        <w:rPr>
          <w:rFonts w:hint="eastAsia"/>
          <w:sz w:val="30"/>
          <w:szCs w:val="30"/>
        </w:rPr>
        <w:t>二〇二〇年七月十日</w:t>
      </w:r>
    </w:p>
    <w:p w:rsidR="00000000" w:rsidRDefault="00A36592">
      <w:pPr>
        <w:spacing w:line="500" w:lineRule="atLeast"/>
        <w:jc w:val="right"/>
        <w:divId w:val="1270626464"/>
        <w:rPr>
          <w:rFonts w:hint="eastAsia"/>
          <w:sz w:val="30"/>
          <w:szCs w:val="30"/>
        </w:rPr>
      </w:pPr>
      <w:r>
        <w:rPr>
          <w:rFonts w:hint="eastAsia"/>
          <w:sz w:val="30"/>
          <w:szCs w:val="30"/>
        </w:rPr>
        <w:t>书记员　　赵　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592" w:rsidRDefault="00A36592" w:rsidP="00A36592">
      <w:r>
        <w:separator/>
      </w:r>
    </w:p>
  </w:endnote>
  <w:endnote w:type="continuationSeparator" w:id="0">
    <w:p w:rsidR="00A36592" w:rsidRDefault="00A36592" w:rsidP="00A3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592" w:rsidRDefault="00A36592" w:rsidP="00A36592">
      <w:r>
        <w:separator/>
      </w:r>
    </w:p>
  </w:footnote>
  <w:footnote w:type="continuationSeparator" w:id="0">
    <w:p w:rsidR="00A36592" w:rsidRDefault="00A36592" w:rsidP="00A36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36592"/>
    <w:rsid w:val="00A36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A365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6592"/>
    <w:rPr>
      <w:rFonts w:ascii="宋体" w:eastAsia="宋体" w:hAnsi="宋体" w:cs="宋体"/>
      <w:sz w:val="18"/>
      <w:szCs w:val="18"/>
    </w:rPr>
  </w:style>
  <w:style w:type="paragraph" w:styleId="a6">
    <w:name w:val="footer"/>
    <w:basedOn w:val="a"/>
    <w:link w:val="a7"/>
    <w:uiPriority w:val="99"/>
    <w:unhideWhenUsed/>
    <w:rsid w:val="00A36592"/>
    <w:pPr>
      <w:tabs>
        <w:tab w:val="center" w:pos="4153"/>
        <w:tab w:val="right" w:pos="8306"/>
      </w:tabs>
      <w:snapToGrid w:val="0"/>
    </w:pPr>
    <w:rPr>
      <w:sz w:val="18"/>
      <w:szCs w:val="18"/>
    </w:rPr>
  </w:style>
  <w:style w:type="character" w:customStyle="1" w:styleId="a7">
    <w:name w:val="页脚 字符"/>
    <w:basedOn w:val="a0"/>
    <w:link w:val="a6"/>
    <w:uiPriority w:val="99"/>
    <w:rsid w:val="00A3659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2025">
      <w:marLeft w:val="0"/>
      <w:marRight w:val="0"/>
      <w:marTop w:val="10"/>
      <w:marBottom w:val="10"/>
      <w:divBdr>
        <w:top w:val="none" w:sz="0" w:space="0" w:color="auto"/>
        <w:left w:val="none" w:sz="0" w:space="0" w:color="auto"/>
        <w:bottom w:val="none" w:sz="0" w:space="0" w:color="auto"/>
        <w:right w:val="none" w:sz="0" w:space="0" w:color="auto"/>
      </w:divBdr>
    </w:div>
    <w:div w:id="350643339">
      <w:marLeft w:val="0"/>
      <w:marRight w:val="0"/>
      <w:marTop w:val="10"/>
      <w:marBottom w:val="10"/>
      <w:divBdr>
        <w:top w:val="none" w:sz="0" w:space="0" w:color="auto"/>
        <w:left w:val="none" w:sz="0" w:space="0" w:color="auto"/>
        <w:bottom w:val="none" w:sz="0" w:space="0" w:color="auto"/>
        <w:right w:val="none" w:sz="0" w:space="0" w:color="auto"/>
      </w:divBdr>
    </w:div>
    <w:div w:id="612707179">
      <w:marLeft w:val="0"/>
      <w:marRight w:val="0"/>
      <w:marTop w:val="10"/>
      <w:marBottom w:val="10"/>
      <w:divBdr>
        <w:top w:val="none" w:sz="0" w:space="0" w:color="auto"/>
        <w:left w:val="none" w:sz="0" w:space="0" w:color="auto"/>
        <w:bottom w:val="none" w:sz="0" w:space="0" w:color="auto"/>
        <w:right w:val="none" w:sz="0" w:space="0" w:color="auto"/>
      </w:divBdr>
    </w:div>
    <w:div w:id="862399536">
      <w:marLeft w:val="0"/>
      <w:marRight w:val="0"/>
      <w:marTop w:val="10"/>
      <w:marBottom w:val="10"/>
      <w:divBdr>
        <w:top w:val="none" w:sz="0" w:space="0" w:color="auto"/>
        <w:left w:val="none" w:sz="0" w:space="0" w:color="auto"/>
        <w:bottom w:val="none" w:sz="0" w:space="0" w:color="auto"/>
        <w:right w:val="none" w:sz="0" w:space="0" w:color="auto"/>
      </w:divBdr>
    </w:div>
    <w:div w:id="1037126167">
      <w:marLeft w:val="0"/>
      <w:marRight w:val="0"/>
      <w:marTop w:val="10"/>
      <w:marBottom w:val="10"/>
      <w:divBdr>
        <w:top w:val="none" w:sz="0" w:space="0" w:color="auto"/>
        <w:left w:val="none" w:sz="0" w:space="0" w:color="auto"/>
        <w:bottom w:val="none" w:sz="0" w:space="0" w:color="auto"/>
        <w:right w:val="none" w:sz="0" w:space="0" w:color="auto"/>
      </w:divBdr>
    </w:div>
    <w:div w:id="1137261633">
      <w:marLeft w:val="0"/>
      <w:marRight w:val="0"/>
      <w:marTop w:val="10"/>
      <w:marBottom w:val="10"/>
      <w:divBdr>
        <w:top w:val="none" w:sz="0" w:space="0" w:color="auto"/>
        <w:left w:val="none" w:sz="0" w:space="0" w:color="auto"/>
        <w:bottom w:val="none" w:sz="0" w:space="0" w:color="auto"/>
        <w:right w:val="none" w:sz="0" w:space="0" w:color="auto"/>
      </w:divBdr>
    </w:div>
    <w:div w:id="1192839029">
      <w:marLeft w:val="0"/>
      <w:marRight w:val="0"/>
      <w:marTop w:val="10"/>
      <w:marBottom w:val="10"/>
      <w:divBdr>
        <w:top w:val="none" w:sz="0" w:space="0" w:color="auto"/>
        <w:left w:val="none" w:sz="0" w:space="0" w:color="auto"/>
        <w:bottom w:val="none" w:sz="0" w:space="0" w:color="auto"/>
        <w:right w:val="none" w:sz="0" w:space="0" w:color="auto"/>
      </w:divBdr>
    </w:div>
    <w:div w:id="1203519720">
      <w:marLeft w:val="0"/>
      <w:marRight w:val="0"/>
      <w:marTop w:val="10"/>
      <w:marBottom w:val="10"/>
      <w:divBdr>
        <w:top w:val="none" w:sz="0" w:space="0" w:color="auto"/>
        <w:left w:val="none" w:sz="0" w:space="0" w:color="auto"/>
        <w:bottom w:val="none" w:sz="0" w:space="0" w:color="auto"/>
        <w:right w:val="none" w:sz="0" w:space="0" w:color="auto"/>
      </w:divBdr>
    </w:div>
    <w:div w:id="1270626464">
      <w:marLeft w:val="0"/>
      <w:marRight w:val="720"/>
      <w:marTop w:val="10"/>
      <w:marBottom w:val="10"/>
      <w:divBdr>
        <w:top w:val="none" w:sz="0" w:space="0" w:color="auto"/>
        <w:left w:val="none" w:sz="0" w:space="0" w:color="auto"/>
        <w:bottom w:val="none" w:sz="0" w:space="0" w:color="auto"/>
        <w:right w:val="none" w:sz="0" w:space="0" w:color="auto"/>
      </w:divBdr>
    </w:div>
    <w:div w:id="1333995059">
      <w:marLeft w:val="0"/>
      <w:marRight w:val="720"/>
      <w:marTop w:val="10"/>
      <w:marBottom w:val="10"/>
      <w:divBdr>
        <w:top w:val="none" w:sz="0" w:space="0" w:color="auto"/>
        <w:left w:val="none" w:sz="0" w:space="0" w:color="auto"/>
        <w:bottom w:val="none" w:sz="0" w:space="0" w:color="auto"/>
        <w:right w:val="none" w:sz="0" w:space="0" w:color="auto"/>
      </w:divBdr>
    </w:div>
    <w:div w:id="1610114581">
      <w:marLeft w:val="0"/>
      <w:marRight w:val="720"/>
      <w:marTop w:val="10"/>
      <w:marBottom w:val="10"/>
      <w:divBdr>
        <w:top w:val="none" w:sz="0" w:space="0" w:color="auto"/>
        <w:left w:val="none" w:sz="0" w:space="0" w:color="auto"/>
        <w:bottom w:val="none" w:sz="0" w:space="0" w:color="auto"/>
        <w:right w:val="none" w:sz="0" w:space="0" w:color="auto"/>
      </w:divBdr>
    </w:div>
    <w:div w:id="1698041246">
      <w:marLeft w:val="0"/>
      <w:marRight w:val="0"/>
      <w:marTop w:val="10"/>
      <w:marBottom w:val="10"/>
      <w:divBdr>
        <w:top w:val="none" w:sz="0" w:space="0" w:color="auto"/>
        <w:left w:val="none" w:sz="0" w:space="0" w:color="auto"/>
        <w:bottom w:val="none" w:sz="0" w:space="0" w:color="auto"/>
        <w:right w:val="none" w:sz="0" w:space="0" w:color="auto"/>
      </w:divBdr>
    </w:div>
    <w:div w:id="1796561736">
      <w:marLeft w:val="0"/>
      <w:marRight w:val="0"/>
      <w:marTop w:val="10"/>
      <w:marBottom w:val="10"/>
      <w:divBdr>
        <w:top w:val="none" w:sz="0" w:space="0" w:color="auto"/>
        <w:left w:val="none" w:sz="0" w:space="0" w:color="auto"/>
        <w:bottom w:val="none" w:sz="0" w:space="0" w:color="auto"/>
        <w:right w:val="none" w:sz="0" w:space="0" w:color="auto"/>
      </w:divBdr>
    </w:div>
    <w:div w:id="1841651237">
      <w:marLeft w:val="0"/>
      <w:marRight w:val="0"/>
      <w:marTop w:val="10"/>
      <w:marBottom w:val="10"/>
      <w:divBdr>
        <w:top w:val="none" w:sz="0" w:space="0" w:color="auto"/>
        <w:left w:val="none" w:sz="0" w:space="0" w:color="auto"/>
        <w:bottom w:val="none" w:sz="0" w:space="0" w:color="auto"/>
        <w:right w:val="none" w:sz="0" w:space="0" w:color="auto"/>
      </w:divBdr>
    </w:div>
    <w:div w:id="1953854457">
      <w:marLeft w:val="0"/>
      <w:marRight w:val="720"/>
      <w:marTop w:val="10"/>
      <w:marBottom w:val="10"/>
      <w:divBdr>
        <w:top w:val="none" w:sz="0" w:space="0" w:color="auto"/>
        <w:left w:val="none" w:sz="0" w:space="0" w:color="auto"/>
        <w:bottom w:val="none" w:sz="0" w:space="0" w:color="auto"/>
        <w:right w:val="none" w:sz="0" w:space="0" w:color="auto"/>
      </w:divBdr>
    </w:div>
    <w:div w:id="206713942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