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4035C">
      <w:pPr>
        <w:spacing w:line="500" w:lineRule="atLeast"/>
        <w:jc w:val="center"/>
        <w:divId w:val="2022973552"/>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64035C">
      <w:pPr>
        <w:spacing w:line="500" w:lineRule="atLeast"/>
        <w:jc w:val="center"/>
        <w:divId w:val="17440591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4035C">
      <w:pPr>
        <w:spacing w:line="500" w:lineRule="atLeast"/>
        <w:jc w:val="right"/>
        <w:divId w:val="1513715934"/>
        <w:rPr>
          <w:rFonts w:hint="eastAsia"/>
          <w:sz w:val="30"/>
          <w:szCs w:val="30"/>
        </w:rPr>
      </w:pPr>
      <w:r>
        <w:rPr>
          <w:rFonts w:hint="eastAsia"/>
          <w:sz w:val="30"/>
          <w:szCs w:val="30"/>
        </w:rPr>
        <w:t>(2020)</w:t>
      </w:r>
      <w:r>
        <w:rPr>
          <w:rFonts w:hint="eastAsia"/>
          <w:sz w:val="30"/>
          <w:szCs w:val="30"/>
        </w:rPr>
        <w:t>鲁民申</w:t>
      </w:r>
      <w:r>
        <w:rPr>
          <w:rFonts w:hint="eastAsia"/>
          <w:sz w:val="30"/>
          <w:szCs w:val="30"/>
        </w:rPr>
        <w:t>10592</w:t>
      </w:r>
      <w:r>
        <w:rPr>
          <w:rFonts w:hint="eastAsia"/>
          <w:sz w:val="30"/>
          <w:szCs w:val="30"/>
        </w:rPr>
        <w:t>号</w:t>
      </w:r>
    </w:p>
    <w:p w:rsidR="00000000" w:rsidRDefault="0064035C">
      <w:pPr>
        <w:spacing w:line="500" w:lineRule="atLeast"/>
        <w:ind w:firstLine="600"/>
        <w:divId w:val="126550965"/>
        <w:rPr>
          <w:rFonts w:hint="eastAsia"/>
          <w:sz w:val="30"/>
          <w:szCs w:val="30"/>
        </w:rPr>
      </w:pPr>
      <w:r>
        <w:rPr>
          <w:rFonts w:hint="eastAsia"/>
          <w:sz w:val="30"/>
          <w:szCs w:val="30"/>
        </w:rPr>
        <w:t>再审申请人（一审原告、二审上诉人）：张兆英，女，</w:t>
      </w:r>
      <w:r>
        <w:rPr>
          <w:rFonts w:hint="eastAsia"/>
          <w:sz w:val="30"/>
          <w:szCs w:val="30"/>
        </w:rPr>
        <w:t>1969</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日出生，汉族，住山东省泰安市泰山区。</w:t>
      </w:r>
    </w:p>
    <w:p w:rsidR="00000000" w:rsidRDefault="0064035C">
      <w:pPr>
        <w:spacing w:line="500" w:lineRule="atLeast"/>
        <w:ind w:firstLine="600"/>
        <w:divId w:val="1091857731"/>
        <w:rPr>
          <w:rFonts w:hint="eastAsia"/>
          <w:sz w:val="30"/>
          <w:szCs w:val="30"/>
        </w:rPr>
      </w:pPr>
      <w:r>
        <w:rPr>
          <w:rFonts w:hint="eastAsia"/>
          <w:sz w:val="30"/>
          <w:szCs w:val="30"/>
        </w:rPr>
        <w:t>委托诉讼代理人：刘茹，山东泰润律师事务所律师。</w:t>
      </w:r>
    </w:p>
    <w:p w:rsidR="00000000" w:rsidRDefault="0064035C">
      <w:pPr>
        <w:spacing w:line="500" w:lineRule="atLeast"/>
        <w:ind w:firstLine="600"/>
        <w:divId w:val="1061365802"/>
        <w:rPr>
          <w:rFonts w:hint="eastAsia"/>
          <w:sz w:val="30"/>
          <w:szCs w:val="30"/>
        </w:rPr>
      </w:pPr>
      <w:r>
        <w:rPr>
          <w:rFonts w:hint="eastAsia"/>
          <w:sz w:val="30"/>
          <w:szCs w:val="30"/>
        </w:rPr>
        <w:t>被申请人（一审被告、二审被上诉人）：泰安市岱岳区皮肤病防治所，住所地山东省泰安市造纸厂北路</w:t>
      </w:r>
      <w:r>
        <w:rPr>
          <w:rFonts w:hint="eastAsia"/>
          <w:sz w:val="30"/>
          <w:szCs w:val="30"/>
        </w:rPr>
        <w:t>9</w:t>
      </w:r>
      <w:r>
        <w:rPr>
          <w:rFonts w:hint="eastAsia"/>
          <w:sz w:val="30"/>
          <w:szCs w:val="30"/>
        </w:rPr>
        <w:t>号。</w:t>
      </w:r>
    </w:p>
    <w:p w:rsidR="00000000" w:rsidRDefault="0064035C">
      <w:pPr>
        <w:spacing w:line="500" w:lineRule="atLeast"/>
        <w:ind w:firstLine="600"/>
        <w:divId w:val="1954509041"/>
        <w:rPr>
          <w:rFonts w:hint="eastAsia"/>
          <w:sz w:val="30"/>
          <w:szCs w:val="30"/>
        </w:rPr>
      </w:pPr>
      <w:r>
        <w:rPr>
          <w:rFonts w:hint="eastAsia"/>
          <w:sz w:val="30"/>
          <w:szCs w:val="30"/>
        </w:rPr>
        <w:t>法定代表人：孙峰，所长。</w:t>
      </w:r>
    </w:p>
    <w:p w:rsidR="00000000" w:rsidRDefault="0064035C">
      <w:pPr>
        <w:spacing w:line="500" w:lineRule="atLeast"/>
        <w:ind w:firstLine="600"/>
        <w:divId w:val="2001155296"/>
        <w:rPr>
          <w:rFonts w:hint="eastAsia"/>
          <w:sz w:val="30"/>
          <w:szCs w:val="30"/>
        </w:rPr>
      </w:pPr>
      <w:r>
        <w:rPr>
          <w:rFonts w:hint="eastAsia"/>
          <w:sz w:val="30"/>
          <w:szCs w:val="30"/>
        </w:rPr>
        <w:t>再审申请人张兆英因与被申请人泰安市岱岳区皮肤病防治所医疗损害责任纠纷一案，不服山东省泰安市中级人民法院（</w:t>
      </w:r>
      <w:r>
        <w:rPr>
          <w:rFonts w:hint="eastAsia"/>
          <w:sz w:val="30"/>
          <w:szCs w:val="30"/>
        </w:rPr>
        <w:t>2020</w:t>
      </w:r>
      <w:r>
        <w:rPr>
          <w:rFonts w:hint="eastAsia"/>
          <w:sz w:val="30"/>
          <w:szCs w:val="30"/>
        </w:rPr>
        <w:t>）鲁</w:t>
      </w:r>
      <w:r>
        <w:rPr>
          <w:rFonts w:hint="eastAsia"/>
          <w:sz w:val="30"/>
          <w:szCs w:val="30"/>
        </w:rPr>
        <w:t>09</w:t>
      </w:r>
      <w:r>
        <w:rPr>
          <w:rFonts w:hint="eastAsia"/>
          <w:sz w:val="30"/>
          <w:szCs w:val="30"/>
        </w:rPr>
        <w:t>民终</w:t>
      </w:r>
      <w:r>
        <w:rPr>
          <w:rFonts w:hint="eastAsia"/>
          <w:sz w:val="30"/>
          <w:szCs w:val="30"/>
        </w:rPr>
        <w:t>471</w:t>
      </w:r>
      <w:r>
        <w:rPr>
          <w:rFonts w:hint="eastAsia"/>
          <w:sz w:val="30"/>
          <w:szCs w:val="30"/>
        </w:rPr>
        <w:t>号民事判决书，向本院申请再审。本院依法组成合议庭进行了审查，现已审查终结。</w:t>
      </w:r>
    </w:p>
    <w:p w:rsidR="00000000" w:rsidRDefault="0064035C">
      <w:pPr>
        <w:spacing w:line="500" w:lineRule="atLeast"/>
        <w:ind w:firstLine="600"/>
        <w:divId w:val="45764849"/>
        <w:rPr>
          <w:rFonts w:hint="eastAsia"/>
          <w:sz w:val="30"/>
          <w:szCs w:val="30"/>
        </w:rPr>
      </w:pPr>
      <w:r>
        <w:rPr>
          <w:rFonts w:hint="eastAsia"/>
          <w:sz w:val="30"/>
          <w:szCs w:val="30"/>
        </w:rPr>
        <w:t>张兆英申请再审称，原判认定的基本事实缺乏证据证明，适用法律确有错误，依据《中华人民共和国民事诉讼法》第二百条第二项、第六项的规定，应当再审。理由是：</w:t>
      </w:r>
      <w:r>
        <w:rPr>
          <w:rFonts w:hint="eastAsia"/>
          <w:sz w:val="30"/>
          <w:szCs w:val="30"/>
        </w:rPr>
        <w:t>1.</w:t>
      </w:r>
      <w:r>
        <w:rPr>
          <w:rFonts w:hint="eastAsia"/>
          <w:sz w:val="30"/>
          <w:szCs w:val="30"/>
        </w:rPr>
        <w:t>泰安市岱岳区皮肤病防治所（以下简称皮肤病防治所）由于其错误诊疗行为给张兆英的身体健康造成了严重侵害，使张兆英的病情最终发展为尿毒症，张兆英作为一名普通患者</w:t>
      </w:r>
      <w:r>
        <w:rPr>
          <w:rFonts w:hint="eastAsia"/>
          <w:sz w:val="30"/>
          <w:szCs w:val="30"/>
        </w:rPr>
        <w:t>，没有任何的医学常识，张兆英与皮肤病防治所在</w:t>
      </w:r>
      <w:r>
        <w:rPr>
          <w:rFonts w:hint="eastAsia"/>
          <w:sz w:val="30"/>
          <w:szCs w:val="30"/>
        </w:rPr>
        <w:t>2002</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日达成的协议显失公平且存在重大误解，该协议应予撤销。</w:t>
      </w:r>
      <w:r>
        <w:rPr>
          <w:rFonts w:hint="eastAsia"/>
          <w:sz w:val="30"/>
          <w:szCs w:val="30"/>
        </w:rPr>
        <w:t>2.</w:t>
      </w:r>
      <w:r>
        <w:rPr>
          <w:rFonts w:hint="eastAsia"/>
          <w:sz w:val="30"/>
          <w:szCs w:val="30"/>
        </w:rPr>
        <w:t>二审法院根据《最高人民法院关于民事诉讼证据的若干规定》第二条的规定，认定张兆英承担举证责任，并因此判定由张兆英承担举证不能的不利后果，系适用法律错误。本案的医疗行为及由此产生的损害结果均发生在</w:t>
      </w:r>
      <w:r>
        <w:rPr>
          <w:rFonts w:hint="eastAsia"/>
          <w:sz w:val="30"/>
          <w:szCs w:val="30"/>
        </w:rPr>
        <w:t>2010</w:t>
      </w:r>
      <w:r>
        <w:rPr>
          <w:rFonts w:hint="eastAsia"/>
          <w:sz w:val="30"/>
          <w:szCs w:val="30"/>
        </w:rPr>
        <w:t>年之前，因此不能适用《中华人民共和国侵权责任法》，而应该适用</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日起实施的《最高人民法院关于民事诉讼证据的若干规定》分配举证责</w:t>
      </w:r>
      <w:r>
        <w:rPr>
          <w:rFonts w:hint="eastAsia"/>
          <w:sz w:val="30"/>
          <w:szCs w:val="30"/>
        </w:rPr>
        <w:lastRenderedPageBreak/>
        <w:t>任。本案系医疗纠纷侵权诉讼，应当适用该规定第四条第八项：</w:t>
      </w:r>
      <w:r>
        <w:rPr>
          <w:rFonts w:hint="eastAsia"/>
          <w:sz w:val="30"/>
          <w:szCs w:val="30"/>
        </w:rPr>
        <w:t>“因医疗行为引起的侵权诉讼，由医疗机构就医疗行为与损害结果之间不存在因果关系及不存在医疗过错承担举证责任”的规定，由皮肤病防治所承担本案鉴定机构退鉴的不利后果。</w:t>
      </w:r>
      <w:r>
        <w:rPr>
          <w:rFonts w:hint="eastAsia"/>
          <w:sz w:val="30"/>
          <w:szCs w:val="30"/>
        </w:rPr>
        <w:t>3.</w:t>
      </w:r>
      <w:r>
        <w:rPr>
          <w:rFonts w:hint="eastAsia"/>
          <w:sz w:val="30"/>
          <w:szCs w:val="30"/>
        </w:rPr>
        <w:t>本案诉讼过程中，虽然多家鉴定机构均对皮肤病防治所对张兆英的诊疗过程中是否存在医疗过错，以及医疗过错与肾脏损害后果之间的因果关系及参与度的鉴定申请作出了退鉴处理，但是本案一审、二审法院查明的事实已经形成了完整的证据体系，完全能够证实皮肤病防治所的医疗过错行为，以及该行为与张兆英罹患尿毒症之间的因果关系。综上，原审判决认定事实不清，适用法律错误，请求</w:t>
      </w:r>
      <w:r>
        <w:rPr>
          <w:rFonts w:hint="eastAsia"/>
          <w:sz w:val="30"/>
          <w:szCs w:val="30"/>
        </w:rPr>
        <w:t>依法改判。</w:t>
      </w:r>
    </w:p>
    <w:p w:rsidR="00000000" w:rsidRDefault="0064035C">
      <w:pPr>
        <w:spacing w:line="500" w:lineRule="atLeast"/>
        <w:ind w:firstLine="600"/>
        <w:divId w:val="995568482"/>
        <w:rPr>
          <w:rFonts w:hint="eastAsia"/>
          <w:sz w:val="30"/>
          <w:szCs w:val="30"/>
        </w:rPr>
      </w:pPr>
      <w:r>
        <w:rPr>
          <w:rFonts w:hint="eastAsia"/>
          <w:sz w:val="30"/>
          <w:szCs w:val="30"/>
        </w:rPr>
        <w:t>皮肤病防治所提交答辩意见称，原审判决认定事实清楚，适用法律正确，请求依法维持原判。理由如下：</w:t>
      </w:r>
      <w:r>
        <w:rPr>
          <w:rFonts w:hint="eastAsia"/>
          <w:sz w:val="30"/>
          <w:szCs w:val="30"/>
        </w:rPr>
        <w:t>1.</w:t>
      </w:r>
      <w:r>
        <w:rPr>
          <w:rFonts w:hint="eastAsia"/>
          <w:sz w:val="30"/>
          <w:szCs w:val="30"/>
        </w:rPr>
        <w:t>张兆英对法律适用理解有误。本案应当适用诉讼时程序法的相关规定，即《侵权责任法》第五十四条的规定，由张兆英承担举证责任。</w:t>
      </w:r>
      <w:r>
        <w:rPr>
          <w:rFonts w:hint="eastAsia"/>
          <w:sz w:val="30"/>
          <w:szCs w:val="30"/>
        </w:rPr>
        <w:t>2.2017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日起施行的《最高人民法院关于审理医疗损害责任纠纷案件适用法律若干问题的解释》对医疗损害责任纠纷案件的举证责任有明确的规定。</w:t>
      </w:r>
      <w:r>
        <w:rPr>
          <w:rFonts w:hint="eastAsia"/>
          <w:sz w:val="30"/>
          <w:szCs w:val="30"/>
        </w:rPr>
        <w:t>3.</w:t>
      </w:r>
      <w:r>
        <w:rPr>
          <w:rFonts w:hint="eastAsia"/>
          <w:sz w:val="30"/>
          <w:szCs w:val="30"/>
        </w:rPr>
        <w:t>张兆英没有证据证明皮肤病防治所存在医疗过错，也没有任何证据证明其患尿毒症与皮肤病防治所的诊疗行为有关，应当承担举证不能的后果。</w:t>
      </w:r>
    </w:p>
    <w:p w:rsidR="00000000" w:rsidRDefault="0064035C">
      <w:pPr>
        <w:spacing w:line="500" w:lineRule="atLeast"/>
        <w:ind w:firstLine="600"/>
        <w:divId w:val="1379550455"/>
        <w:rPr>
          <w:rFonts w:hint="eastAsia"/>
          <w:sz w:val="30"/>
          <w:szCs w:val="30"/>
        </w:rPr>
      </w:pPr>
      <w:r>
        <w:rPr>
          <w:rFonts w:hint="eastAsia"/>
          <w:sz w:val="30"/>
          <w:szCs w:val="30"/>
        </w:rPr>
        <w:t>本院经审</w:t>
      </w:r>
      <w:r>
        <w:rPr>
          <w:rFonts w:hint="eastAsia"/>
          <w:sz w:val="30"/>
          <w:szCs w:val="30"/>
        </w:rPr>
        <w:t>查认为，关于张兆英与皮肤病防治所签订协议的效力问题。《中华人民共和国合同法》第五十四条第一款规定：“下列合同，当事人一方有权请求人民法院或者仲裁机构变更或者撤销：（一）因重大误解订立的；（二）在订立合同时显失公平的。”第五十五条规定：“有下列情形之一的，撤销权消灭：（一）具有撤销权的当事人自知道或者应当知道撤销事由之日起一年内没有行使撤销权……”本案中，张兆英与</w:t>
      </w:r>
      <w:r>
        <w:rPr>
          <w:rFonts w:hint="eastAsia"/>
          <w:sz w:val="30"/>
          <w:szCs w:val="30"/>
        </w:rPr>
        <w:lastRenderedPageBreak/>
        <w:t>皮肤病防治所的协议签订于</w:t>
      </w:r>
      <w:r>
        <w:rPr>
          <w:rFonts w:hint="eastAsia"/>
          <w:sz w:val="30"/>
          <w:szCs w:val="30"/>
        </w:rPr>
        <w:t>2002</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日，张兆英主张该协议显失公平且存在重大误解，其应当在法律规定的期间主张撤销合同。张兆英于</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日被诊断为慢性肾衰竭（尿毒症期），其于</w:t>
      </w:r>
      <w:r>
        <w:rPr>
          <w:rFonts w:hint="eastAsia"/>
          <w:sz w:val="30"/>
          <w:szCs w:val="30"/>
        </w:rPr>
        <w:t>2015</w:t>
      </w:r>
      <w:r>
        <w:rPr>
          <w:rFonts w:hint="eastAsia"/>
          <w:sz w:val="30"/>
          <w:szCs w:val="30"/>
        </w:rPr>
        <w:t>年第一次向法院起诉时，已经超出法律规定的行使撤销权的除斥期间，因此张兆英的主张不能成立。</w:t>
      </w:r>
    </w:p>
    <w:p w:rsidR="00000000" w:rsidRDefault="0064035C">
      <w:pPr>
        <w:spacing w:line="500" w:lineRule="atLeast"/>
        <w:ind w:firstLine="600"/>
        <w:divId w:val="1500924940"/>
        <w:rPr>
          <w:rFonts w:hint="eastAsia"/>
          <w:sz w:val="30"/>
          <w:szCs w:val="30"/>
        </w:rPr>
      </w:pPr>
      <w:r>
        <w:rPr>
          <w:rFonts w:hint="eastAsia"/>
          <w:sz w:val="30"/>
          <w:szCs w:val="30"/>
        </w:rPr>
        <w:t>关于本案的法律适用问题。本案争议诊疗行为发生在</w:t>
      </w:r>
      <w:r>
        <w:rPr>
          <w:rFonts w:hint="eastAsia"/>
          <w:sz w:val="30"/>
          <w:szCs w:val="30"/>
        </w:rPr>
        <w:t>2000</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日，张兆英与皮肤病防治所在</w:t>
      </w:r>
      <w:r>
        <w:rPr>
          <w:rFonts w:hint="eastAsia"/>
          <w:sz w:val="30"/>
          <w:szCs w:val="30"/>
        </w:rPr>
        <w:t>2002</w:t>
      </w:r>
      <w:r>
        <w:rPr>
          <w:rFonts w:hint="eastAsia"/>
          <w:sz w:val="30"/>
          <w:szCs w:val="30"/>
        </w:rPr>
        <w:t>年达成的协议载明，经岱岳区医疗事故技术鉴定委员会鉴定，“该医疗事件不属于医疗事故”。因张兆英生活困难，皮肤病防治所同意支付张兆英一次性补助五千元整，该款项已于双方签订协议当日支付。同时约定，“协议为该医疗事件的终结处理，经签字生效后双方均不追究对方的任何责任。”张兆英在签订协议十</w:t>
      </w:r>
      <w:r>
        <w:rPr>
          <w:rFonts w:hint="eastAsia"/>
          <w:sz w:val="30"/>
          <w:szCs w:val="30"/>
        </w:rPr>
        <w:t>几年后，又因该诊疗问题提起诉讼，与</w:t>
      </w:r>
      <w:r>
        <w:rPr>
          <w:rFonts w:hint="eastAsia"/>
          <w:sz w:val="30"/>
          <w:szCs w:val="30"/>
        </w:rPr>
        <w:t>2002</w:t>
      </w:r>
      <w:r>
        <w:rPr>
          <w:rFonts w:hint="eastAsia"/>
          <w:sz w:val="30"/>
          <w:szCs w:val="30"/>
        </w:rPr>
        <w:t>年签订协议的意思表示相矛盾，违背诚实信用原则。本案二审过程中，《最高人民法院关于民事诉讼证据的若干规定》再次进行修订，医疗损害赔偿纠纷中的举证责任倒置规则被废止，根据程序从新的法律适用原则，本案应当适用民事诉讼“谁主张谁举证”的一般证据规则，由张兆英对慢性肾衰竭（尿毒症期）与皮肤病防治所</w:t>
      </w:r>
      <w:r>
        <w:rPr>
          <w:rFonts w:hint="eastAsia"/>
          <w:sz w:val="30"/>
          <w:szCs w:val="30"/>
        </w:rPr>
        <w:t>2000</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日诊疗行为之间的因果关系承担举证证明责任。</w:t>
      </w:r>
    </w:p>
    <w:p w:rsidR="00000000" w:rsidRDefault="0064035C">
      <w:pPr>
        <w:spacing w:line="500" w:lineRule="atLeast"/>
        <w:ind w:firstLine="600"/>
        <w:divId w:val="2047290830"/>
        <w:rPr>
          <w:rFonts w:hint="eastAsia"/>
          <w:sz w:val="30"/>
          <w:szCs w:val="30"/>
        </w:rPr>
      </w:pPr>
      <w:r>
        <w:rPr>
          <w:rFonts w:hint="eastAsia"/>
          <w:sz w:val="30"/>
          <w:szCs w:val="30"/>
        </w:rPr>
        <w:t>本案中，张兆英曾申请对皮肤病防治所诊疗过程中是否存在医疗过错，以及皮肤病防治所的医疗过错与张兆英肾脏损害后果之间的因果关系</w:t>
      </w:r>
      <w:r>
        <w:rPr>
          <w:rFonts w:hint="eastAsia"/>
          <w:sz w:val="30"/>
          <w:szCs w:val="30"/>
        </w:rPr>
        <w:t>及参与度申请鉴定，山东金正法医司法鉴定所、南京医科大学司法鉴定所、司法鉴定科学技术研究所司法鉴定中心、北京法源司法科学证据鉴定中心等多家鉴定机构均对上述申请作出退鉴处理。在不能进行司法鉴定，且张兆英无法提供证据证明其患有慢性肾衰竭（尿毒症期）与</w:t>
      </w:r>
      <w:r>
        <w:rPr>
          <w:rFonts w:hint="eastAsia"/>
          <w:sz w:val="30"/>
          <w:szCs w:val="30"/>
        </w:rPr>
        <w:t>2000</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日诊疗行为存在因果关系的情况下，应当由张兆英承担举证不能的法律后果，原审判决以证据不足为由驳回张兆英的诉讼请求并无不当。</w:t>
      </w:r>
    </w:p>
    <w:p w:rsidR="00000000" w:rsidRDefault="0064035C">
      <w:pPr>
        <w:spacing w:line="500" w:lineRule="atLeast"/>
        <w:ind w:firstLine="600"/>
        <w:divId w:val="1055666912"/>
        <w:rPr>
          <w:rFonts w:hint="eastAsia"/>
          <w:sz w:val="30"/>
          <w:szCs w:val="30"/>
        </w:rPr>
      </w:pPr>
      <w:r>
        <w:rPr>
          <w:rFonts w:hint="eastAsia"/>
          <w:sz w:val="30"/>
          <w:szCs w:val="30"/>
        </w:rPr>
        <w:t>综上，张兆英的再审申请不符合《中华人民共和国民事诉讼法》第二百条第二项、第六项的规定，依照《中华人民共和国民事诉讼法》第二百零四条</w:t>
      </w:r>
      <w:r>
        <w:rPr>
          <w:rFonts w:hint="eastAsia"/>
          <w:sz w:val="30"/>
          <w:szCs w:val="30"/>
        </w:rPr>
        <w:t>第一款，《最高人民法院关于适用〈中华人民共和国民事诉讼法〉的解释》第三百九十五条第二款规定，裁定如下：</w:t>
      </w:r>
    </w:p>
    <w:p w:rsidR="00000000" w:rsidRDefault="0064035C">
      <w:pPr>
        <w:spacing w:line="500" w:lineRule="atLeast"/>
        <w:ind w:firstLine="600"/>
        <w:divId w:val="1341395887"/>
        <w:rPr>
          <w:rFonts w:hint="eastAsia"/>
          <w:sz w:val="30"/>
          <w:szCs w:val="30"/>
        </w:rPr>
      </w:pPr>
      <w:r>
        <w:rPr>
          <w:rFonts w:hint="eastAsia"/>
          <w:sz w:val="30"/>
          <w:szCs w:val="30"/>
        </w:rPr>
        <w:t>驳回张兆英的再审申请。</w:t>
      </w:r>
    </w:p>
    <w:p w:rsidR="00000000" w:rsidRDefault="0064035C">
      <w:pPr>
        <w:spacing w:line="500" w:lineRule="atLeast"/>
        <w:jc w:val="right"/>
        <w:divId w:val="970018982"/>
        <w:rPr>
          <w:rFonts w:hint="eastAsia"/>
          <w:sz w:val="30"/>
          <w:szCs w:val="30"/>
        </w:rPr>
      </w:pPr>
      <w:r>
        <w:rPr>
          <w:rFonts w:hint="eastAsia"/>
          <w:sz w:val="30"/>
          <w:szCs w:val="30"/>
        </w:rPr>
        <w:t>审判长　崔　勇</w:t>
      </w:r>
    </w:p>
    <w:p w:rsidR="00000000" w:rsidRDefault="0064035C">
      <w:pPr>
        <w:spacing w:line="500" w:lineRule="atLeast"/>
        <w:jc w:val="right"/>
        <w:divId w:val="286351183"/>
        <w:rPr>
          <w:rFonts w:hint="eastAsia"/>
          <w:sz w:val="30"/>
          <w:szCs w:val="30"/>
        </w:rPr>
      </w:pPr>
      <w:r>
        <w:rPr>
          <w:rFonts w:hint="eastAsia"/>
          <w:sz w:val="30"/>
          <w:szCs w:val="30"/>
        </w:rPr>
        <w:t>审判员　刘晓华</w:t>
      </w:r>
    </w:p>
    <w:p w:rsidR="00000000" w:rsidRDefault="0064035C">
      <w:pPr>
        <w:spacing w:line="500" w:lineRule="atLeast"/>
        <w:jc w:val="right"/>
        <w:divId w:val="1932421545"/>
        <w:rPr>
          <w:rFonts w:hint="eastAsia"/>
          <w:sz w:val="30"/>
          <w:szCs w:val="30"/>
        </w:rPr>
      </w:pPr>
      <w:r>
        <w:rPr>
          <w:rFonts w:hint="eastAsia"/>
          <w:sz w:val="30"/>
          <w:szCs w:val="30"/>
        </w:rPr>
        <w:t>审判员　公韶华</w:t>
      </w:r>
    </w:p>
    <w:p w:rsidR="00000000" w:rsidRDefault="0064035C">
      <w:pPr>
        <w:spacing w:line="500" w:lineRule="atLeast"/>
        <w:jc w:val="right"/>
        <w:divId w:val="257327082"/>
        <w:rPr>
          <w:rFonts w:hint="eastAsia"/>
          <w:sz w:val="30"/>
          <w:szCs w:val="30"/>
        </w:rPr>
      </w:pPr>
      <w:r>
        <w:rPr>
          <w:rFonts w:hint="eastAsia"/>
          <w:sz w:val="30"/>
          <w:szCs w:val="30"/>
        </w:rPr>
        <w:t>二〇二〇年十二月三十日</w:t>
      </w:r>
    </w:p>
    <w:p w:rsidR="00000000" w:rsidRDefault="0064035C">
      <w:pPr>
        <w:spacing w:line="500" w:lineRule="atLeast"/>
        <w:jc w:val="right"/>
        <w:divId w:val="1456407597"/>
        <w:rPr>
          <w:rFonts w:hint="eastAsia"/>
          <w:sz w:val="30"/>
          <w:szCs w:val="30"/>
        </w:rPr>
      </w:pPr>
      <w:r>
        <w:rPr>
          <w:rFonts w:hint="eastAsia"/>
          <w:sz w:val="30"/>
          <w:szCs w:val="30"/>
        </w:rPr>
        <w:t>书记员　隗　娇</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35C" w:rsidRDefault="0064035C" w:rsidP="0064035C">
      <w:r>
        <w:separator/>
      </w:r>
    </w:p>
  </w:endnote>
  <w:endnote w:type="continuationSeparator" w:id="0">
    <w:p w:rsidR="0064035C" w:rsidRDefault="0064035C" w:rsidP="00640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35C" w:rsidRDefault="0064035C" w:rsidP="0064035C">
      <w:r>
        <w:separator/>
      </w:r>
    </w:p>
  </w:footnote>
  <w:footnote w:type="continuationSeparator" w:id="0">
    <w:p w:rsidR="0064035C" w:rsidRDefault="0064035C" w:rsidP="006403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4035C"/>
    <w:rsid w:val="00640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6403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4035C"/>
    <w:rPr>
      <w:rFonts w:ascii="宋体" w:eastAsia="宋体" w:hAnsi="宋体" w:cs="宋体"/>
      <w:sz w:val="18"/>
      <w:szCs w:val="18"/>
    </w:rPr>
  </w:style>
  <w:style w:type="paragraph" w:styleId="a6">
    <w:name w:val="footer"/>
    <w:basedOn w:val="a"/>
    <w:link w:val="a7"/>
    <w:uiPriority w:val="99"/>
    <w:unhideWhenUsed/>
    <w:rsid w:val="0064035C"/>
    <w:pPr>
      <w:tabs>
        <w:tab w:val="center" w:pos="4153"/>
        <w:tab w:val="right" w:pos="8306"/>
      </w:tabs>
      <w:snapToGrid w:val="0"/>
    </w:pPr>
    <w:rPr>
      <w:sz w:val="18"/>
      <w:szCs w:val="18"/>
    </w:rPr>
  </w:style>
  <w:style w:type="character" w:customStyle="1" w:styleId="a7">
    <w:name w:val="页脚 字符"/>
    <w:basedOn w:val="a0"/>
    <w:link w:val="a6"/>
    <w:uiPriority w:val="99"/>
    <w:rsid w:val="0064035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4849">
      <w:marLeft w:val="0"/>
      <w:marRight w:val="0"/>
      <w:marTop w:val="10"/>
      <w:marBottom w:val="10"/>
      <w:divBdr>
        <w:top w:val="none" w:sz="0" w:space="0" w:color="auto"/>
        <w:left w:val="none" w:sz="0" w:space="0" w:color="auto"/>
        <w:bottom w:val="none" w:sz="0" w:space="0" w:color="auto"/>
        <w:right w:val="none" w:sz="0" w:space="0" w:color="auto"/>
      </w:divBdr>
    </w:div>
    <w:div w:id="126550965">
      <w:marLeft w:val="0"/>
      <w:marRight w:val="0"/>
      <w:marTop w:val="10"/>
      <w:marBottom w:val="10"/>
      <w:divBdr>
        <w:top w:val="none" w:sz="0" w:space="0" w:color="auto"/>
        <w:left w:val="none" w:sz="0" w:space="0" w:color="auto"/>
        <w:bottom w:val="none" w:sz="0" w:space="0" w:color="auto"/>
        <w:right w:val="none" w:sz="0" w:space="0" w:color="auto"/>
      </w:divBdr>
    </w:div>
    <w:div w:id="257327082">
      <w:marLeft w:val="0"/>
      <w:marRight w:val="720"/>
      <w:marTop w:val="10"/>
      <w:marBottom w:val="10"/>
      <w:divBdr>
        <w:top w:val="none" w:sz="0" w:space="0" w:color="auto"/>
        <w:left w:val="none" w:sz="0" w:space="0" w:color="auto"/>
        <w:bottom w:val="none" w:sz="0" w:space="0" w:color="auto"/>
        <w:right w:val="none" w:sz="0" w:space="0" w:color="auto"/>
      </w:divBdr>
    </w:div>
    <w:div w:id="286351183">
      <w:marLeft w:val="0"/>
      <w:marRight w:val="720"/>
      <w:marTop w:val="10"/>
      <w:marBottom w:val="10"/>
      <w:divBdr>
        <w:top w:val="none" w:sz="0" w:space="0" w:color="auto"/>
        <w:left w:val="none" w:sz="0" w:space="0" w:color="auto"/>
        <w:bottom w:val="none" w:sz="0" w:space="0" w:color="auto"/>
        <w:right w:val="none" w:sz="0" w:space="0" w:color="auto"/>
      </w:divBdr>
    </w:div>
    <w:div w:id="970018982">
      <w:marLeft w:val="0"/>
      <w:marRight w:val="720"/>
      <w:marTop w:val="10"/>
      <w:marBottom w:val="10"/>
      <w:divBdr>
        <w:top w:val="none" w:sz="0" w:space="0" w:color="auto"/>
        <w:left w:val="none" w:sz="0" w:space="0" w:color="auto"/>
        <w:bottom w:val="none" w:sz="0" w:space="0" w:color="auto"/>
        <w:right w:val="none" w:sz="0" w:space="0" w:color="auto"/>
      </w:divBdr>
    </w:div>
    <w:div w:id="995568482">
      <w:marLeft w:val="0"/>
      <w:marRight w:val="0"/>
      <w:marTop w:val="10"/>
      <w:marBottom w:val="10"/>
      <w:divBdr>
        <w:top w:val="none" w:sz="0" w:space="0" w:color="auto"/>
        <w:left w:val="none" w:sz="0" w:space="0" w:color="auto"/>
        <w:bottom w:val="none" w:sz="0" w:space="0" w:color="auto"/>
        <w:right w:val="none" w:sz="0" w:space="0" w:color="auto"/>
      </w:divBdr>
    </w:div>
    <w:div w:id="1055666912">
      <w:marLeft w:val="0"/>
      <w:marRight w:val="0"/>
      <w:marTop w:val="10"/>
      <w:marBottom w:val="10"/>
      <w:divBdr>
        <w:top w:val="none" w:sz="0" w:space="0" w:color="auto"/>
        <w:left w:val="none" w:sz="0" w:space="0" w:color="auto"/>
        <w:bottom w:val="none" w:sz="0" w:space="0" w:color="auto"/>
        <w:right w:val="none" w:sz="0" w:space="0" w:color="auto"/>
      </w:divBdr>
    </w:div>
    <w:div w:id="1061365802">
      <w:marLeft w:val="0"/>
      <w:marRight w:val="0"/>
      <w:marTop w:val="10"/>
      <w:marBottom w:val="10"/>
      <w:divBdr>
        <w:top w:val="none" w:sz="0" w:space="0" w:color="auto"/>
        <w:left w:val="none" w:sz="0" w:space="0" w:color="auto"/>
        <w:bottom w:val="none" w:sz="0" w:space="0" w:color="auto"/>
        <w:right w:val="none" w:sz="0" w:space="0" w:color="auto"/>
      </w:divBdr>
    </w:div>
    <w:div w:id="1091857731">
      <w:marLeft w:val="0"/>
      <w:marRight w:val="0"/>
      <w:marTop w:val="10"/>
      <w:marBottom w:val="10"/>
      <w:divBdr>
        <w:top w:val="none" w:sz="0" w:space="0" w:color="auto"/>
        <w:left w:val="none" w:sz="0" w:space="0" w:color="auto"/>
        <w:bottom w:val="none" w:sz="0" w:space="0" w:color="auto"/>
        <w:right w:val="none" w:sz="0" w:space="0" w:color="auto"/>
      </w:divBdr>
    </w:div>
    <w:div w:id="1341395887">
      <w:marLeft w:val="0"/>
      <w:marRight w:val="0"/>
      <w:marTop w:val="10"/>
      <w:marBottom w:val="10"/>
      <w:divBdr>
        <w:top w:val="none" w:sz="0" w:space="0" w:color="auto"/>
        <w:left w:val="none" w:sz="0" w:space="0" w:color="auto"/>
        <w:bottom w:val="none" w:sz="0" w:space="0" w:color="auto"/>
        <w:right w:val="none" w:sz="0" w:space="0" w:color="auto"/>
      </w:divBdr>
    </w:div>
    <w:div w:id="1379550455">
      <w:marLeft w:val="0"/>
      <w:marRight w:val="0"/>
      <w:marTop w:val="10"/>
      <w:marBottom w:val="10"/>
      <w:divBdr>
        <w:top w:val="none" w:sz="0" w:space="0" w:color="auto"/>
        <w:left w:val="none" w:sz="0" w:space="0" w:color="auto"/>
        <w:bottom w:val="none" w:sz="0" w:space="0" w:color="auto"/>
        <w:right w:val="none" w:sz="0" w:space="0" w:color="auto"/>
      </w:divBdr>
    </w:div>
    <w:div w:id="1456407597">
      <w:marLeft w:val="0"/>
      <w:marRight w:val="720"/>
      <w:marTop w:val="10"/>
      <w:marBottom w:val="10"/>
      <w:divBdr>
        <w:top w:val="none" w:sz="0" w:space="0" w:color="auto"/>
        <w:left w:val="none" w:sz="0" w:space="0" w:color="auto"/>
        <w:bottom w:val="none" w:sz="0" w:space="0" w:color="auto"/>
        <w:right w:val="none" w:sz="0" w:space="0" w:color="auto"/>
      </w:divBdr>
    </w:div>
    <w:div w:id="1500924940">
      <w:marLeft w:val="0"/>
      <w:marRight w:val="0"/>
      <w:marTop w:val="10"/>
      <w:marBottom w:val="10"/>
      <w:divBdr>
        <w:top w:val="none" w:sz="0" w:space="0" w:color="auto"/>
        <w:left w:val="none" w:sz="0" w:space="0" w:color="auto"/>
        <w:bottom w:val="none" w:sz="0" w:space="0" w:color="auto"/>
        <w:right w:val="none" w:sz="0" w:space="0" w:color="auto"/>
      </w:divBdr>
    </w:div>
    <w:div w:id="1513715934">
      <w:marLeft w:val="0"/>
      <w:marRight w:val="0"/>
      <w:marTop w:val="10"/>
      <w:marBottom w:val="10"/>
      <w:divBdr>
        <w:top w:val="none" w:sz="0" w:space="0" w:color="auto"/>
        <w:left w:val="none" w:sz="0" w:space="0" w:color="auto"/>
        <w:bottom w:val="none" w:sz="0" w:space="0" w:color="auto"/>
        <w:right w:val="none" w:sz="0" w:space="0" w:color="auto"/>
      </w:divBdr>
    </w:div>
    <w:div w:id="1744059192">
      <w:marLeft w:val="0"/>
      <w:marRight w:val="0"/>
      <w:marTop w:val="10"/>
      <w:marBottom w:val="10"/>
      <w:divBdr>
        <w:top w:val="none" w:sz="0" w:space="0" w:color="auto"/>
        <w:left w:val="none" w:sz="0" w:space="0" w:color="auto"/>
        <w:bottom w:val="none" w:sz="0" w:space="0" w:color="auto"/>
        <w:right w:val="none" w:sz="0" w:space="0" w:color="auto"/>
      </w:divBdr>
    </w:div>
    <w:div w:id="1932421545">
      <w:marLeft w:val="0"/>
      <w:marRight w:val="720"/>
      <w:marTop w:val="10"/>
      <w:marBottom w:val="10"/>
      <w:divBdr>
        <w:top w:val="none" w:sz="0" w:space="0" w:color="auto"/>
        <w:left w:val="none" w:sz="0" w:space="0" w:color="auto"/>
        <w:bottom w:val="none" w:sz="0" w:space="0" w:color="auto"/>
        <w:right w:val="none" w:sz="0" w:space="0" w:color="auto"/>
      </w:divBdr>
    </w:div>
    <w:div w:id="1954509041">
      <w:marLeft w:val="0"/>
      <w:marRight w:val="0"/>
      <w:marTop w:val="10"/>
      <w:marBottom w:val="10"/>
      <w:divBdr>
        <w:top w:val="none" w:sz="0" w:space="0" w:color="auto"/>
        <w:left w:val="none" w:sz="0" w:space="0" w:color="auto"/>
        <w:bottom w:val="none" w:sz="0" w:space="0" w:color="auto"/>
        <w:right w:val="none" w:sz="0" w:space="0" w:color="auto"/>
      </w:divBdr>
    </w:div>
    <w:div w:id="2001155296">
      <w:marLeft w:val="0"/>
      <w:marRight w:val="0"/>
      <w:marTop w:val="10"/>
      <w:marBottom w:val="10"/>
      <w:divBdr>
        <w:top w:val="none" w:sz="0" w:space="0" w:color="auto"/>
        <w:left w:val="none" w:sz="0" w:space="0" w:color="auto"/>
        <w:bottom w:val="none" w:sz="0" w:space="0" w:color="auto"/>
        <w:right w:val="none" w:sz="0" w:space="0" w:color="auto"/>
      </w:divBdr>
    </w:div>
    <w:div w:id="2022973552">
      <w:marLeft w:val="0"/>
      <w:marRight w:val="0"/>
      <w:marTop w:val="10"/>
      <w:marBottom w:val="10"/>
      <w:divBdr>
        <w:top w:val="none" w:sz="0" w:space="0" w:color="auto"/>
        <w:left w:val="none" w:sz="0" w:space="0" w:color="auto"/>
        <w:bottom w:val="none" w:sz="0" w:space="0" w:color="auto"/>
        <w:right w:val="none" w:sz="0" w:space="0" w:color="auto"/>
      </w:divBdr>
    </w:div>
    <w:div w:id="204729083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