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4082F">
      <w:pPr>
        <w:spacing w:line="500" w:lineRule="atLeast"/>
        <w:jc w:val="center"/>
        <w:divId w:val="104733080"/>
        <w:rPr>
          <w:rFonts w:ascii="黑体" w:eastAsia="黑体" w:hAnsi="黑体"/>
          <w:sz w:val="36"/>
          <w:szCs w:val="36"/>
        </w:rPr>
      </w:pPr>
      <w:bookmarkStart w:id="0" w:name="_GoBack"/>
      <w:bookmarkEnd w:id="0"/>
      <w:r>
        <w:rPr>
          <w:rFonts w:ascii="黑体" w:eastAsia="黑体" w:hAnsi="黑体" w:hint="eastAsia"/>
          <w:sz w:val="36"/>
          <w:szCs w:val="36"/>
        </w:rPr>
        <w:t>山东省高级人民法院</w:t>
      </w:r>
    </w:p>
    <w:p w:rsidR="00000000" w:rsidRDefault="00C4082F">
      <w:pPr>
        <w:spacing w:line="500" w:lineRule="atLeast"/>
        <w:jc w:val="center"/>
        <w:divId w:val="1684551619"/>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4082F">
      <w:pPr>
        <w:spacing w:line="500" w:lineRule="atLeast"/>
        <w:jc w:val="right"/>
        <w:divId w:val="1261059436"/>
        <w:rPr>
          <w:rFonts w:hint="eastAsia"/>
          <w:sz w:val="30"/>
          <w:szCs w:val="30"/>
        </w:rPr>
      </w:pPr>
      <w:r>
        <w:rPr>
          <w:rFonts w:hint="eastAsia"/>
          <w:sz w:val="30"/>
          <w:szCs w:val="30"/>
        </w:rPr>
        <w:t>（</w:t>
      </w:r>
      <w:r>
        <w:rPr>
          <w:rFonts w:hint="eastAsia"/>
          <w:sz w:val="30"/>
          <w:szCs w:val="30"/>
        </w:rPr>
        <w:t>2019</w:t>
      </w:r>
      <w:r>
        <w:rPr>
          <w:rFonts w:hint="eastAsia"/>
          <w:sz w:val="30"/>
          <w:szCs w:val="30"/>
        </w:rPr>
        <w:t>）鲁行申</w:t>
      </w:r>
      <w:r>
        <w:rPr>
          <w:rFonts w:hint="eastAsia"/>
          <w:sz w:val="30"/>
          <w:szCs w:val="30"/>
        </w:rPr>
        <w:t>222</w:t>
      </w:r>
      <w:r>
        <w:rPr>
          <w:rFonts w:hint="eastAsia"/>
          <w:sz w:val="30"/>
          <w:szCs w:val="30"/>
        </w:rPr>
        <w:t>号</w:t>
      </w:r>
    </w:p>
    <w:p w:rsidR="00000000" w:rsidRDefault="00C4082F">
      <w:pPr>
        <w:spacing w:line="500" w:lineRule="atLeast"/>
        <w:ind w:firstLine="600"/>
        <w:divId w:val="1694450898"/>
        <w:rPr>
          <w:rFonts w:hint="eastAsia"/>
          <w:sz w:val="30"/>
          <w:szCs w:val="30"/>
        </w:rPr>
      </w:pPr>
      <w:r>
        <w:rPr>
          <w:rFonts w:hint="eastAsia"/>
          <w:sz w:val="30"/>
          <w:szCs w:val="30"/>
        </w:rPr>
        <w:t>再审申请人（一审原告、二审上诉人）张卫勇，男，</w:t>
      </w:r>
      <w:r>
        <w:rPr>
          <w:rFonts w:hint="eastAsia"/>
          <w:sz w:val="30"/>
          <w:szCs w:val="30"/>
        </w:rPr>
        <w:t>1969</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日生，汉族，住山东省宁津县。</w:t>
      </w:r>
    </w:p>
    <w:p w:rsidR="00000000" w:rsidRDefault="00C4082F">
      <w:pPr>
        <w:spacing w:line="500" w:lineRule="atLeast"/>
        <w:ind w:firstLine="600"/>
        <w:divId w:val="1295330623"/>
        <w:rPr>
          <w:rFonts w:hint="eastAsia"/>
          <w:sz w:val="30"/>
          <w:szCs w:val="30"/>
        </w:rPr>
      </w:pPr>
      <w:r>
        <w:rPr>
          <w:rFonts w:hint="eastAsia"/>
          <w:sz w:val="30"/>
          <w:szCs w:val="30"/>
        </w:rPr>
        <w:t>被申请人（一审被告、二审被上诉人）淄博市卫生和计划生育委员会，住所地淄博市张店区人民西路</w:t>
      </w:r>
      <w:r>
        <w:rPr>
          <w:rFonts w:hint="eastAsia"/>
          <w:sz w:val="30"/>
          <w:szCs w:val="30"/>
        </w:rPr>
        <w:t>45</w:t>
      </w:r>
      <w:r>
        <w:rPr>
          <w:rFonts w:hint="eastAsia"/>
          <w:sz w:val="30"/>
          <w:szCs w:val="30"/>
        </w:rPr>
        <w:t>号。</w:t>
      </w:r>
    </w:p>
    <w:p w:rsidR="00000000" w:rsidRDefault="00C4082F">
      <w:pPr>
        <w:spacing w:line="500" w:lineRule="atLeast"/>
        <w:ind w:firstLine="600"/>
        <w:divId w:val="1288584466"/>
        <w:rPr>
          <w:rFonts w:hint="eastAsia"/>
          <w:sz w:val="30"/>
          <w:szCs w:val="30"/>
        </w:rPr>
      </w:pPr>
      <w:r>
        <w:rPr>
          <w:rFonts w:hint="eastAsia"/>
          <w:sz w:val="30"/>
          <w:szCs w:val="30"/>
        </w:rPr>
        <w:t>法定代表人宋晓东，主任。</w:t>
      </w:r>
    </w:p>
    <w:p w:rsidR="00000000" w:rsidRDefault="00C4082F">
      <w:pPr>
        <w:spacing w:line="500" w:lineRule="atLeast"/>
        <w:ind w:firstLine="600"/>
        <w:divId w:val="1860266593"/>
        <w:rPr>
          <w:rFonts w:hint="eastAsia"/>
          <w:sz w:val="30"/>
          <w:szCs w:val="30"/>
        </w:rPr>
      </w:pPr>
      <w:r>
        <w:rPr>
          <w:rFonts w:hint="eastAsia"/>
          <w:sz w:val="30"/>
          <w:szCs w:val="30"/>
        </w:rPr>
        <w:t>再审申请人张卫勇因与被申请人淄博市卫生和计划生育委员会不予受理医疗事故争议处理行政答复一案，不服淄博市中级人民法院（</w:t>
      </w:r>
      <w:r>
        <w:rPr>
          <w:rFonts w:hint="eastAsia"/>
          <w:sz w:val="30"/>
          <w:szCs w:val="30"/>
        </w:rPr>
        <w:t>2018</w:t>
      </w:r>
      <w:r>
        <w:rPr>
          <w:rFonts w:hint="eastAsia"/>
          <w:sz w:val="30"/>
          <w:szCs w:val="30"/>
        </w:rPr>
        <w:t>）鲁</w:t>
      </w:r>
      <w:r>
        <w:rPr>
          <w:rFonts w:hint="eastAsia"/>
          <w:sz w:val="30"/>
          <w:szCs w:val="30"/>
        </w:rPr>
        <w:t>03</w:t>
      </w:r>
      <w:r>
        <w:rPr>
          <w:rFonts w:hint="eastAsia"/>
          <w:sz w:val="30"/>
          <w:szCs w:val="30"/>
        </w:rPr>
        <w:t>行终</w:t>
      </w:r>
      <w:r>
        <w:rPr>
          <w:rFonts w:hint="eastAsia"/>
          <w:sz w:val="30"/>
          <w:szCs w:val="30"/>
        </w:rPr>
        <w:t>124</w:t>
      </w:r>
      <w:r>
        <w:rPr>
          <w:rFonts w:hint="eastAsia"/>
          <w:sz w:val="30"/>
          <w:szCs w:val="30"/>
        </w:rPr>
        <w:t>号行政判决，向本院申请再审。本院依法由审判员侯勇、审判员李拙、审判员李莉军组成合议庭对本案进行了审查，本案现已审查终结。</w:t>
      </w:r>
    </w:p>
    <w:p w:rsidR="00000000" w:rsidRDefault="00C4082F">
      <w:pPr>
        <w:spacing w:line="500" w:lineRule="atLeast"/>
        <w:ind w:firstLine="600"/>
        <w:divId w:val="1103376614"/>
        <w:rPr>
          <w:rFonts w:hint="eastAsia"/>
          <w:sz w:val="30"/>
          <w:szCs w:val="30"/>
        </w:rPr>
      </w:pPr>
      <w:r>
        <w:rPr>
          <w:rFonts w:hint="eastAsia"/>
          <w:sz w:val="30"/>
          <w:szCs w:val="30"/>
        </w:rPr>
        <w:t>张卫勇申请再审称：请求开庭审理本案，撤销原审法院判决，对案件进行再审，判令被申请人受理再审申请人</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日的医疗事故判定申请，并作出判定。理由如下：</w:t>
      </w:r>
      <w:r>
        <w:rPr>
          <w:rFonts w:hint="eastAsia"/>
          <w:sz w:val="30"/>
          <w:szCs w:val="30"/>
        </w:rPr>
        <w:t>1.</w:t>
      </w:r>
      <w:r>
        <w:rPr>
          <w:rFonts w:hint="eastAsia"/>
          <w:sz w:val="30"/>
          <w:szCs w:val="30"/>
        </w:rPr>
        <w:t>周村区卫生局已经于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月受理了再审申请人的医疗事故技术鉴定申请，并经被申请人</w:t>
      </w:r>
      <w:r>
        <w:rPr>
          <w:rFonts w:hint="eastAsia"/>
          <w:sz w:val="30"/>
          <w:szCs w:val="30"/>
        </w:rPr>
        <w:t>转到了淄博市医学会。淄博市卫生局等对伪造病历根本不予调查。原审法院对病历还没有调查，就认为再审申请人没有医疗事故判定申请的权利，该认定是错误的。另外，医疗事故判定申请的期限应从对病历有“调查结果”时起算。</w:t>
      </w:r>
      <w:r>
        <w:rPr>
          <w:rFonts w:hint="eastAsia"/>
          <w:sz w:val="30"/>
          <w:szCs w:val="30"/>
        </w:rPr>
        <w:t>2.</w:t>
      </w:r>
      <w:r>
        <w:rPr>
          <w:rFonts w:hint="eastAsia"/>
          <w:sz w:val="30"/>
          <w:szCs w:val="30"/>
        </w:rPr>
        <w:t>原审法院判决认定事实的主要证据不足。张店区人民法院（</w:t>
      </w:r>
      <w:r>
        <w:rPr>
          <w:rFonts w:hint="eastAsia"/>
          <w:sz w:val="30"/>
          <w:szCs w:val="30"/>
        </w:rPr>
        <w:t>2016</w:t>
      </w:r>
      <w:r>
        <w:rPr>
          <w:rFonts w:hint="eastAsia"/>
          <w:sz w:val="30"/>
          <w:szCs w:val="30"/>
        </w:rPr>
        <w:t>）鲁</w:t>
      </w:r>
      <w:r>
        <w:rPr>
          <w:rFonts w:hint="eastAsia"/>
          <w:sz w:val="30"/>
          <w:szCs w:val="30"/>
        </w:rPr>
        <w:t>0303</w:t>
      </w:r>
      <w:r>
        <w:rPr>
          <w:rFonts w:hint="eastAsia"/>
          <w:sz w:val="30"/>
          <w:szCs w:val="30"/>
        </w:rPr>
        <w:t>民初字</w:t>
      </w:r>
      <w:r>
        <w:rPr>
          <w:rFonts w:hint="eastAsia"/>
          <w:sz w:val="30"/>
          <w:szCs w:val="30"/>
        </w:rPr>
        <w:t>2309</w:t>
      </w:r>
      <w:r>
        <w:rPr>
          <w:rFonts w:hint="eastAsia"/>
          <w:sz w:val="30"/>
          <w:szCs w:val="30"/>
        </w:rPr>
        <w:t>号民事判决，没有将医疗事故判定包括在内，判决范围不包括医疗事故判定。再审申请人于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日向被申请人递交医疗事故判定申请，被申请人仍旧沿用《关于张卫勇申请医疗事故判定的答复》而拒收申请书，法院应当对被申请人</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日拒</w:t>
      </w:r>
      <w:r>
        <w:rPr>
          <w:rFonts w:hint="eastAsia"/>
          <w:sz w:val="30"/>
          <w:szCs w:val="30"/>
        </w:rPr>
        <w:lastRenderedPageBreak/>
        <w:t>绝受理医疗事故判定申请的合法性进行审查。</w:t>
      </w:r>
      <w:r>
        <w:rPr>
          <w:rFonts w:hint="eastAsia"/>
          <w:sz w:val="30"/>
          <w:szCs w:val="30"/>
        </w:rPr>
        <w:t>3.</w:t>
      </w:r>
      <w:r>
        <w:rPr>
          <w:rFonts w:hint="eastAsia"/>
          <w:sz w:val="30"/>
          <w:szCs w:val="30"/>
        </w:rPr>
        <w:t>涉案伪造病历行为违法，原审法院认定再审申请人没有申请医疗事故判定的权利，适用法律错误。</w:t>
      </w:r>
      <w:r>
        <w:rPr>
          <w:rFonts w:hint="eastAsia"/>
          <w:sz w:val="30"/>
          <w:szCs w:val="30"/>
        </w:rPr>
        <w:t>4.</w:t>
      </w:r>
      <w:r>
        <w:rPr>
          <w:rFonts w:hint="eastAsia"/>
          <w:sz w:val="30"/>
          <w:szCs w:val="30"/>
        </w:rPr>
        <w:t>《卫生部关于医疗机构不配合医疗事故技术鉴定所应承担的责任的批复》《卫生部关于卫生行政部门是否有权直接判定医疗事故的批复》与《医疗事故处理条例》相较，属特别法，应优先适用。</w:t>
      </w:r>
    </w:p>
    <w:p w:rsidR="00000000" w:rsidRDefault="00C4082F">
      <w:pPr>
        <w:spacing w:line="500" w:lineRule="atLeast"/>
        <w:ind w:firstLine="600"/>
        <w:divId w:val="2067604556"/>
        <w:rPr>
          <w:rFonts w:hint="eastAsia"/>
          <w:sz w:val="30"/>
          <w:szCs w:val="30"/>
        </w:rPr>
      </w:pPr>
      <w:r>
        <w:rPr>
          <w:rFonts w:hint="eastAsia"/>
          <w:sz w:val="30"/>
          <w:szCs w:val="30"/>
        </w:rPr>
        <w:t>再审复查过程中，再审申请人向本院提交《关于姜岩家属白祥汝</w:t>
      </w:r>
      <w:r>
        <w:rPr>
          <w:rFonts w:hint="eastAsia"/>
          <w:sz w:val="30"/>
          <w:szCs w:val="30"/>
        </w:rPr>
        <w:t>11</w:t>
      </w:r>
      <w:r>
        <w:rPr>
          <w:rFonts w:hint="eastAsia"/>
          <w:sz w:val="30"/>
          <w:szCs w:val="30"/>
        </w:rPr>
        <w:t>月</w:t>
      </w:r>
      <w:r>
        <w:rPr>
          <w:rFonts w:hint="eastAsia"/>
          <w:sz w:val="30"/>
          <w:szCs w:val="30"/>
        </w:rPr>
        <w:t>29</w:t>
      </w:r>
      <w:r>
        <w:rPr>
          <w:rFonts w:hint="eastAsia"/>
          <w:sz w:val="30"/>
          <w:szCs w:val="30"/>
        </w:rPr>
        <w:t>和</w:t>
      </w:r>
      <w:r>
        <w:rPr>
          <w:rFonts w:hint="eastAsia"/>
          <w:sz w:val="30"/>
          <w:szCs w:val="30"/>
        </w:rPr>
        <w:t>12</w:t>
      </w:r>
      <w:r>
        <w:rPr>
          <w:rFonts w:hint="eastAsia"/>
          <w:sz w:val="30"/>
          <w:szCs w:val="30"/>
        </w:rPr>
        <w:t>月</w:t>
      </w:r>
      <w:r>
        <w:rPr>
          <w:rFonts w:hint="eastAsia"/>
          <w:sz w:val="30"/>
          <w:szCs w:val="30"/>
        </w:rPr>
        <w:t>1</w:t>
      </w:r>
      <w:r>
        <w:rPr>
          <w:rFonts w:hint="eastAsia"/>
          <w:sz w:val="30"/>
          <w:szCs w:val="30"/>
        </w:rPr>
        <w:t>日投诉举报的答复意见》《青岛市卫生和计划生育委员会关于市民白祥汝投诉举报的答复意见》复印件各一份，《道路交</w:t>
      </w:r>
      <w:r>
        <w:rPr>
          <w:rFonts w:hint="eastAsia"/>
          <w:sz w:val="30"/>
          <w:szCs w:val="30"/>
        </w:rPr>
        <w:t>通事故处理程序规定》《医疗事故处理流程》、案例打印件各一份，上述证据再审申请人在原审中未向法院提交，不属于《最高人民法院关于行政诉讼证据若干问题的规定》第五十二条规定的“新的证据”，对此本院不予采纳。另外，再审申请人提交的电脑存档文件打印件一份，该证据与本案审理的焦点问题即被申请人不予受理医疗事故争议处理申请是否合法并无关联，本院对其关联性不予认定。</w:t>
      </w:r>
    </w:p>
    <w:p w:rsidR="00000000" w:rsidRDefault="00C4082F">
      <w:pPr>
        <w:spacing w:line="500" w:lineRule="atLeast"/>
        <w:ind w:firstLine="600"/>
        <w:divId w:val="413862315"/>
        <w:rPr>
          <w:rFonts w:hint="eastAsia"/>
          <w:sz w:val="30"/>
          <w:szCs w:val="30"/>
        </w:rPr>
      </w:pPr>
      <w:r>
        <w:rPr>
          <w:rFonts w:hint="eastAsia"/>
          <w:sz w:val="30"/>
          <w:szCs w:val="30"/>
        </w:rPr>
        <w:t>本院认为：原一审法院庭审笔录载明张卫勇在原一审中的诉讼请求为撤销被申请人</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日作出的《关于张卫勇申请医疗事故判定的答复》</w:t>
      </w:r>
      <w:r>
        <w:rPr>
          <w:rFonts w:hint="eastAsia"/>
          <w:sz w:val="30"/>
          <w:szCs w:val="30"/>
        </w:rPr>
        <w:t>,</w:t>
      </w:r>
      <w:r>
        <w:rPr>
          <w:rFonts w:hint="eastAsia"/>
          <w:sz w:val="30"/>
          <w:szCs w:val="30"/>
        </w:rPr>
        <w:t>故被申请人</w:t>
      </w:r>
      <w:r>
        <w:rPr>
          <w:rFonts w:hint="eastAsia"/>
          <w:sz w:val="30"/>
          <w:szCs w:val="30"/>
        </w:rPr>
        <w:t>2017</w:t>
      </w:r>
      <w:r>
        <w:rPr>
          <w:rFonts w:hint="eastAsia"/>
          <w:sz w:val="30"/>
          <w:szCs w:val="30"/>
        </w:rPr>
        <w:t>年</w:t>
      </w:r>
      <w:r>
        <w:rPr>
          <w:rFonts w:hint="eastAsia"/>
          <w:sz w:val="30"/>
          <w:szCs w:val="30"/>
        </w:rPr>
        <w:t>1</w:t>
      </w:r>
      <w:r>
        <w:rPr>
          <w:rFonts w:hint="eastAsia"/>
          <w:sz w:val="30"/>
          <w:szCs w:val="30"/>
        </w:rPr>
        <w:t>1</w:t>
      </w:r>
      <w:r>
        <w:rPr>
          <w:rFonts w:hint="eastAsia"/>
          <w:sz w:val="30"/>
          <w:szCs w:val="30"/>
        </w:rPr>
        <w:t>月</w:t>
      </w:r>
      <w:r>
        <w:rPr>
          <w:rFonts w:hint="eastAsia"/>
          <w:sz w:val="30"/>
          <w:szCs w:val="30"/>
        </w:rPr>
        <w:t>21</w:t>
      </w:r>
      <w:r>
        <w:rPr>
          <w:rFonts w:hint="eastAsia"/>
          <w:sz w:val="30"/>
          <w:szCs w:val="30"/>
        </w:rPr>
        <w:t>日拒绝受理医疗事故判定申请行为的合法性不属于本案审查范围，本院不予审查。</w:t>
      </w:r>
    </w:p>
    <w:p w:rsidR="00000000" w:rsidRDefault="00C4082F">
      <w:pPr>
        <w:spacing w:line="500" w:lineRule="atLeast"/>
        <w:ind w:firstLine="600"/>
        <w:divId w:val="1841388539"/>
        <w:rPr>
          <w:rFonts w:hint="eastAsia"/>
          <w:sz w:val="30"/>
          <w:szCs w:val="30"/>
        </w:rPr>
      </w:pPr>
      <w:r>
        <w:rPr>
          <w:rFonts w:hint="eastAsia"/>
          <w:sz w:val="30"/>
          <w:szCs w:val="30"/>
        </w:rPr>
        <w:t>《卫生部关于医疗机构不配合医疗事故技术鉴定所应承担的责任的批复》第一条和《卫生部关于卫生行政部门是否有权直接判定医疗事故的批复》涉及的是医疗机构不配合医疗事故技术鉴定等情况作出的答复，并非针对卫生行政部门医疗事故争议受理条件作出的规定，上述规定对本案并不适用。《医疗事故处理条例》第四十条规定“当事人既向卫生行政部门提出</w:t>
      </w:r>
      <w:r>
        <w:rPr>
          <w:rFonts w:hint="eastAsia"/>
          <w:sz w:val="30"/>
          <w:szCs w:val="30"/>
        </w:rPr>
        <w:lastRenderedPageBreak/>
        <w:t>医疗事故争议处理申请，又向人民法院提起诉讼的，卫生行政部门不予受理</w:t>
      </w:r>
      <w:r>
        <w:rPr>
          <w:rFonts w:hint="eastAsia"/>
          <w:sz w:val="30"/>
          <w:szCs w:val="30"/>
        </w:rPr>
        <w:t>;</w:t>
      </w:r>
      <w:r>
        <w:rPr>
          <w:rFonts w:hint="eastAsia"/>
          <w:sz w:val="30"/>
          <w:szCs w:val="30"/>
        </w:rPr>
        <w:t>卫生行政部门已经受理的，应当终止处理。”本</w:t>
      </w:r>
      <w:r>
        <w:rPr>
          <w:rFonts w:hint="eastAsia"/>
          <w:sz w:val="30"/>
          <w:szCs w:val="30"/>
        </w:rPr>
        <w:t>案中，张卫勇于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日向淄博市卫生和计划生育委员会提交《医疗事故判定申请书》，但其在</w:t>
      </w:r>
      <w:r>
        <w:rPr>
          <w:rFonts w:hint="eastAsia"/>
          <w:sz w:val="30"/>
          <w:szCs w:val="30"/>
        </w:rPr>
        <w:t>2014</w:t>
      </w:r>
      <w:r>
        <w:rPr>
          <w:rFonts w:hint="eastAsia"/>
          <w:sz w:val="30"/>
          <w:szCs w:val="30"/>
        </w:rPr>
        <w:t>年</w:t>
      </w:r>
      <w:r>
        <w:rPr>
          <w:rFonts w:hint="eastAsia"/>
          <w:sz w:val="30"/>
          <w:szCs w:val="30"/>
        </w:rPr>
        <w:t>7</w:t>
      </w:r>
      <w:r>
        <w:rPr>
          <w:rFonts w:hint="eastAsia"/>
          <w:sz w:val="30"/>
          <w:szCs w:val="30"/>
        </w:rPr>
        <w:t>月已就相关医疗损害纠纷向淄博市张店区人民法院提起民事诉讼，淄博市卫生和计划生育委员会作出《关于张卫勇申请医疗事故判定的答复》，告知再审申请人对纠纷按照人民法院判决进行处理，并无不当。另外，本案审查的焦点问题是卫生行政部门不予受理医疗事故争议处理申请是否合法，关于有无伪造病历的情形，被申请人对鉴定申请移交医学会是否合法等问题，均不属于本案审查范围，原审法院未予审查，并无不当。</w:t>
      </w:r>
    </w:p>
    <w:p w:rsidR="00000000" w:rsidRDefault="00C4082F">
      <w:pPr>
        <w:spacing w:line="500" w:lineRule="atLeast"/>
        <w:ind w:firstLine="600"/>
        <w:divId w:val="1349287199"/>
        <w:rPr>
          <w:rFonts w:hint="eastAsia"/>
          <w:sz w:val="30"/>
          <w:szCs w:val="30"/>
        </w:rPr>
      </w:pPr>
      <w:r>
        <w:rPr>
          <w:rFonts w:hint="eastAsia"/>
          <w:sz w:val="30"/>
          <w:szCs w:val="30"/>
        </w:rPr>
        <w:t>综上，再审申请人张卫勇的再</w:t>
      </w:r>
      <w:r>
        <w:rPr>
          <w:rFonts w:hint="eastAsia"/>
          <w:sz w:val="30"/>
          <w:szCs w:val="30"/>
        </w:rPr>
        <w:t>审申请不符合《中华人民共和国行政诉讼法》第九十一条规定的情形，其再审申请理由不能成立，不予支持。依照《最高人民法院关于适用〈中华人民共和国行政诉讼法〉的解释》第一百一十六条第二款的规定，裁定如下：</w:t>
      </w:r>
    </w:p>
    <w:p w:rsidR="00000000" w:rsidRDefault="00C4082F">
      <w:pPr>
        <w:spacing w:line="500" w:lineRule="atLeast"/>
        <w:ind w:firstLine="600"/>
        <w:divId w:val="1017775336"/>
        <w:rPr>
          <w:rFonts w:hint="eastAsia"/>
          <w:sz w:val="30"/>
          <w:szCs w:val="30"/>
        </w:rPr>
      </w:pPr>
      <w:r>
        <w:rPr>
          <w:rFonts w:hint="eastAsia"/>
          <w:sz w:val="30"/>
          <w:szCs w:val="30"/>
        </w:rPr>
        <w:t>驳回张卫勇的再审申请。</w:t>
      </w:r>
    </w:p>
    <w:p w:rsidR="00000000" w:rsidRDefault="00C4082F">
      <w:pPr>
        <w:spacing w:line="500" w:lineRule="atLeast"/>
        <w:jc w:val="right"/>
        <w:divId w:val="856391033"/>
        <w:rPr>
          <w:rFonts w:hint="eastAsia"/>
          <w:sz w:val="30"/>
          <w:szCs w:val="30"/>
        </w:rPr>
      </w:pPr>
      <w:r>
        <w:rPr>
          <w:rFonts w:hint="eastAsia"/>
          <w:sz w:val="30"/>
          <w:szCs w:val="30"/>
        </w:rPr>
        <w:t>审判长　侯　勇</w:t>
      </w:r>
    </w:p>
    <w:p w:rsidR="00000000" w:rsidRDefault="00C4082F">
      <w:pPr>
        <w:spacing w:line="500" w:lineRule="atLeast"/>
        <w:jc w:val="right"/>
        <w:divId w:val="741563894"/>
        <w:rPr>
          <w:rFonts w:hint="eastAsia"/>
          <w:sz w:val="30"/>
          <w:szCs w:val="30"/>
        </w:rPr>
      </w:pPr>
      <w:r>
        <w:rPr>
          <w:rFonts w:hint="eastAsia"/>
          <w:sz w:val="30"/>
          <w:szCs w:val="30"/>
        </w:rPr>
        <w:t>审判员　李　拙</w:t>
      </w:r>
    </w:p>
    <w:p w:rsidR="00000000" w:rsidRDefault="00C4082F">
      <w:pPr>
        <w:spacing w:line="500" w:lineRule="atLeast"/>
        <w:jc w:val="right"/>
        <w:divId w:val="1090391722"/>
        <w:rPr>
          <w:rFonts w:hint="eastAsia"/>
          <w:sz w:val="30"/>
          <w:szCs w:val="30"/>
        </w:rPr>
      </w:pPr>
      <w:r>
        <w:rPr>
          <w:rFonts w:hint="eastAsia"/>
          <w:sz w:val="30"/>
          <w:szCs w:val="30"/>
        </w:rPr>
        <w:t>审判员　李莉军</w:t>
      </w:r>
    </w:p>
    <w:p w:rsidR="00000000" w:rsidRDefault="00C4082F">
      <w:pPr>
        <w:spacing w:line="500" w:lineRule="atLeast"/>
        <w:jc w:val="right"/>
        <w:divId w:val="255754197"/>
        <w:rPr>
          <w:rFonts w:hint="eastAsia"/>
          <w:sz w:val="30"/>
          <w:szCs w:val="30"/>
        </w:rPr>
      </w:pPr>
      <w:r>
        <w:rPr>
          <w:rFonts w:hint="eastAsia"/>
          <w:sz w:val="30"/>
          <w:szCs w:val="30"/>
        </w:rPr>
        <w:t>二〇一九年九月二十九日</w:t>
      </w:r>
    </w:p>
    <w:p w:rsidR="00000000" w:rsidRDefault="00C4082F">
      <w:pPr>
        <w:spacing w:line="500" w:lineRule="atLeast"/>
        <w:jc w:val="right"/>
        <w:divId w:val="740450022"/>
        <w:rPr>
          <w:rFonts w:hint="eastAsia"/>
          <w:sz w:val="30"/>
          <w:szCs w:val="30"/>
        </w:rPr>
      </w:pPr>
      <w:r>
        <w:rPr>
          <w:rFonts w:hint="eastAsia"/>
          <w:sz w:val="30"/>
          <w:szCs w:val="30"/>
        </w:rPr>
        <w:t>书记员　杨柳青</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82F" w:rsidRDefault="00C4082F" w:rsidP="00C4082F">
      <w:r>
        <w:separator/>
      </w:r>
    </w:p>
  </w:endnote>
  <w:endnote w:type="continuationSeparator" w:id="0">
    <w:p w:rsidR="00C4082F" w:rsidRDefault="00C4082F" w:rsidP="00C40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82F" w:rsidRDefault="00C4082F" w:rsidP="00C4082F">
      <w:r>
        <w:separator/>
      </w:r>
    </w:p>
  </w:footnote>
  <w:footnote w:type="continuationSeparator" w:id="0">
    <w:p w:rsidR="00C4082F" w:rsidRDefault="00C4082F" w:rsidP="00C408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4082F"/>
    <w:rsid w:val="00C40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C408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082F"/>
    <w:rPr>
      <w:rFonts w:ascii="宋体" w:eastAsia="宋体" w:hAnsi="宋体" w:cs="宋体"/>
      <w:sz w:val="18"/>
      <w:szCs w:val="18"/>
    </w:rPr>
  </w:style>
  <w:style w:type="paragraph" w:styleId="a6">
    <w:name w:val="footer"/>
    <w:basedOn w:val="a"/>
    <w:link w:val="a7"/>
    <w:uiPriority w:val="99"/>
    <w:unhideWhenUsed/>
    <w:rsid w:val="00C4082F"/>
    <w:pPr>
      <w:tabs>
        <w:tab w:val="center" w:pos="4153"/>
        <w:tab w:val="right" w:pos="8306"/>
      </w:tabs>
      <w:snapToGrid w:val="0"/>
    </w:pPr>
    <w:rPr>
      <w:sz w:val="18"/>
      <w:szCs w:val="18"/>
    </w:rPr>
  </w:style>
  <w:style w:type="character" w:customStyle="1" w:styleId="a7">
    <w:name w:val="页脚 字符"/>
    <w:basedOn w:val="a0"/>
    <w:link w:val="a6"/>
    <w:uiPriority w:val="99"/>
    <w:rsid w:val="00C4082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33080">
      <w:marLeft w:val="0"/>
      <w:marRight w:val="0"/>
      <w:marTop w:val="10"/>
      <w:marBottom w:val="10"/>
      <w:divBdr>
        <w:top w:val="none" w:sz="0" w:space="0" w:color="auto"/>
        <w:left w:val="none" w:sz="0" w:space="0" w:color="auto"/>
        <w:bottom w:val="none" w:sz="0" w:space="0" w:color="auto"/>
        <w:right w:val="none" w:sz="0" w:space="0" w:color="auto"/>
      </w:divBdr>
    </w:div>
    <w:div w:id="255754197">
      <w:marLeft w:val="0"/>
      <w:marRight w:val="720"/>
      <w:marTop w:val="10"/>
      <w:marBottom w:val="10"/>
      <w:divBdr>
        <w:top w:val="none" w:sz="0" w:space="0" w:color="auto"/>
        <w:left w:val="none" w:sz="0" w:space="0" w:color="auto"/>
        <w:bottom w:val="none" w:sz="0" w:space="0" w:color="auto"/>
        <w:right w:val="none" w:sz="0" w:space="0" w:color="auto"/>
      </w:divBdr>
    </w:div>
    <w:div w:id="413862315">
      <w:marLeft w:val="0"/>
      <w:marRight w:val="0"/>
      <w:marTop w:val="10"/>
      <w:marBottom w:val="10"/>
      <w:divBdr>
        <w:top w:val="none" w:sz="0" w:space="0" w:color="auto"/>
        <w:left w:val="none" w:sz="0" w:space="0" w:color="auto"/>
        <w:bottom w:val="none" w:sz="0" w:space="0" w:color="auto"/>
        <w:right w:val="none" w:sz="0" w:space="0" w:color="auto"/>
      </w:divBdr>
    </w:div>
    <w:div w:id="740450022">
      <w:marLeft w:val="0"/>
      <w:marRight w:val="720"/>
      <w:marTop w:val="10"/>
      <w:marBottom w:val="10"/>
      <w:divBdr>
        <w:top w:val="none" w:sz="0" w:space="0" w:color="auto"/>
        <w:left w:val="none" w:sz="0" w:space="0" w:color="auto"/>
        <w:bottom w:val="none" w:sz="0" w:space="0" w:color="auto"/>
        <w:right w:val="none" w:sz="0" w:space="0" w:color="auto"/>
      </w:divBdr>
    </w:div>
    <w:div w:id="741563894">
      <w:marLeft w:val="0"/>
      <w:marRight w:val="720"/>
      <w:marTop w:val="10"/>
      <w:marBottom w:val="10"/>
      <w:divBdr>
        <w:top w:val="none" w:sz="0" w:space="0" w:color="auto"/>
        <w:left w:val="none" w:sz="0" w:space="0" w:color="auto"/>
        <w:bottom w:val="none" w:sz="0" w:space="0" w:color="auto"/>
        <w:right w:val="none" w:sz="0" w:space="0" w:color="auto"/>
      </w:divBdr>
    </w:div>
    <w:div w:id="856391033">
      <w:marLeft w:val="0"/>
      <w:marRight w:val="720"/>
      <w:marTop w:val="10"/>
      <w:marBottom w:val="10"/>
      <w:divBdr>
        <w:top w:val="none" w:sz="0" w:space="0" w:color="auto"/>
        <w:left w:val="none" w:sz="0" w:space="0" w:color="auto"/>
        <w:bottom w:val="none" w:sz="0" w:space="0" w:color="auto"/>
        <w:right w:val="none" w:sz="0" w:space="0" w:color="auto"/>
      </w:divBdr>
    </w:div>
    <w:div w:id="1017775336">
      <w:marLeft w:val="0"/>
      <w:marRight w:val="0"/>
      <w:marTop w:val="10"/>
      <w:marBottom w:val="10"/>
      <w:divBdr>
        <w:top w:val="none" w:sz="0" w:space="0" w:color="auto"/>
        <w:left w:val="none" w:sz="0" w:space="0" w:color="auto"/>
        <w:bottom w:val="none" w:sz="0" w:space="0" w:color="auto"/>
        <w:right w:val="none" w:sz="0" w:space="0" w:color="auto"/>
      </w:divBdr>
    </w:div>
    <w:div w:id="1090391722">
      <w:marLeft w:val="0"/>
      <w:marRight w:val="720"/>
      <w:marTop w:val="10"/>
      <w:marBottom w:val="10"/>
      <w:divBdr>
        <w:top w:val="none" w:sz="0" w:space="0" w:color="auto"/>
        <w:left w:val="none" w:sz="0" w:space="0" w:color="auto"/>
        <w:bottom w:val="none" w:sz="0" w:space="0" w:color="auto"/>
        <w:right w:val="none" w:sz="0" w:space="0" w:color="auto"/>
      </w:divBdr>
    </w:div>
    <w:div w:id="1103376614">
      <w:marLeft w:val="0"/>
      <w:marRight w:val="0"/>
      <w:marTop w:val="10"/>
      <w:marBottom w:val="10"/>
      <w:divBdr>
        <w:top w:val="none" w:sz="0" w:space="0" w:color="auto"/>
        <w:left w:val="none" w:sz="0" w:space="0" w:color="auto"/>
        <w:bottom w:val="none" w:sz="0" w:space="0" w:color="auto"/>
        <w:right w:val="none" w:sz="0" w:space="0" w:color="auto"/>
      </w:divBdr>
    </w:div>
    <w:div w:id="1261059436">
      <w:marLeft w:val="0"/>
      <w:marRight w:val="0"/>
      <w:marTop w:val="10"/>
      <w:marBottom w:val="10"/>
      <w:divBdr>
        <w:top w:val="none" w:sz="0" w:space="0" w:color="auto"/>
        <w:left w:val="none" w:sz="0" w:space="0" w:color="auto"/>
        <w:bottom w:val="none" w:sz="0" w:space="0" w:color="auto"/>
        <w:right w:val="none" w:sz="0" w:space="0" w:color="auto"/>
      </w:divBdr>
    </w:div>
    <w:div w:id="1288584466">
      <w:marLeft w:val="0"/>
      <w:marRight w:val="0"/>
      <w:marTop w:val="10"/>
      <w:marBottom w:val="10"/>
      <w:divBdr>
        <w:top w:val="none" w:sz="0" w:space="0" w:color="auto"/>
        <w:left w:val="none" w:sz="0" w:space="0" w:color="auto"/>
        <w:bottom w:val="none" w:sz="0" w:space="0" w:color="auto"/>
        <w:right w:val="none" w:sz="0" w:space="0" w:color="auto"/>
      </w:divBdr>
    </w:div>
    <w:div w:id="1295330623">
      <w:marLeft w:val="0"/>
      <w:marRight w:val="0"/>
      <w:marTop w:val="10"/>
      <w:marBottom w:val="10"/>
      <w:divBdr>
        <w:top w:val="none" w:sz="0" w:space="0" w:color="auto"/>
        <w:left w:val="none" w:sz="0" w:space="0" w:color="auto"/>
        <w:bottom w:val="none" w:sz="0" w:space="0" w:color="auto"/>
        <w:right w:val="none" w:sz="0" w:space="0" w:color="auto"/>
      </w:divBdr>
    </w:div>
    <w:div w:id="1349287199">
      <w:marLeft w:val="0"/>
      <w:marRight w:val="0"/>
      <w:marTop w:val="10"/>
      <w:marBottom w:val="10"/>
      <w:divBdr>
        <w:top w:val="none" w:sz="0" w:space="0" w:color="auto"/>
        <w:left w:val="none" w:sz="0" w:space="0" w:color="auto"/>
        <w:bottom w:val="none" w:sz="0" w:space="0" w:color="auto"/>
        <w:right w:val="none" w:sz="0" w:space="0" w:color="auto"/>
      </w:divBdr>
    </w:div>
    <w:div w:id="1684551619">
      <w:marLeft w:val="0"/>
      <w:marRight w:val="0"/>
      <w:marTop w:val="10"/>
      <w:marBottom w:val="10"/>
      <w:divBdr>
        <w:top w:val="none" w:sz="0" w:space="0" w:color="auto"/>
        <w:left w:val="none" w:sz="0" w:space="0" w:color="auto"/>
        <w:bottom w:val="none" w:sz="0" w:space="0" w:color="auto"/>
        <w:right w:val="none" w:sz="0" w:space="0" w:color="auto"/>
      </w:divBdr>
    </w:div>
    <w:div w:id="1694450898">
      <w:marLeft w:val="0"/>
      <w:marRight w:val="0"/>
      <w:marTop w:val="10"/>
      <w:marBottom w:val="10"/>
      <w:divBdr>
        <w:top w:val="none" w:sz="0" w:space="0" w:color="auto"/>
        <w:left w:val="none" w:sz="0" w:space="0" w:color="auto"/>
        <w:bottom w:val="none" w:sz="0" w:space="0" w:color="auto"/>
        <w:right w:val="none" w:sz="0" w:space="0" w:color="auto"/>
      </w:divBdr>
    </w:div>
    <w:div w:id="1841388539">
      <w:marLeft w:val="0"/>
      <w:marRight w:val="0"/>
      <w:marTop w:val="10"/>
      <w:marBottom w:val="10"/>
      <w:divBdr>
        <w:top w:val="none" w:sz="0" w:space="0" w:color="auto"/>
        <w:left w:val="none" w:sz="0" w:space="0" w:color="auto"/>
        <w:bottom w:val="none" w:sz="0" w:space="0" w:color="auto"/>
        <w:right w:val="none" w:sz="0" w:space="0" w:color="auto"/>
      </w:divBdr>
    </w:div>
    <w:div w:id="1860266593">
      <w:marLeft w:val="0"/>
      <w:marRight w:val="0"/>
      <w:marTop w:val="10"/>
      <w:marBottom w:val="10"/>
      <w:divBdr>
        <w:top w:val="none" w:sz="0" w:space="0" w:color="auto"/>
        <w:left w:val="none" w:sz="0" w:space="0" w:color="auto"/>
        <w:bottom w:val="none" w:sz="0" w:space="0" w:color="auto"/>
        <w:right w:val="none" w:sz="0" w:space="0" w:color="auto"/>
      </w:divBdr>
    </w:div>
    <w:div w:id="206760455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