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37108">
      <w:pPr>
        <w:spacing w:line="500" w:lineRule="atLeast"/>
        <w:jc w:val="center"/>
        <w:divId w:val="483352627"/>
        <w:rPr>
          <w:rFonts w:ascii="黑体" w:eastAsia="黑体" w:hAnsi="黑体"/>
          <w:sz w:val="36"/>
          <w:szCs w:val="36"/>
        </w:rPr>
      </w:pPr>
      <w:bookmarkStart w:id="0" w:name="_GoBack"/>
      <w:bookmarkEnd w:id="0"/>
      <w:r>
        <w:rPr>
          <w:rFonts w:ascii="黑体" w:eastAsia="黑体" w:hAnsi="黑体" w:hint="eastAsia"/>
          <w:sz w:val="36"/>
          <w:szCs w:val="36"/>
        </w:rPr>
        <w:t>湖北省高级人民法院</w:t>
      </w:r>
    </w:p>
    <w:p w:rsidR="00000000" w:rsidRDefault="00A37108">
      <w:pPr>
        <w:spacing w:line="500" w:lineRule="atLeast"/>
        <w:jc w:val="center"/>
        <w:divId w:val="90402535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37108">
      <w:pPr>
        <w:spacing w:line="500" w:lineRule="atLeast"/>
        <w:jc w:val="right"/>
        <w:divId w:val="2080053676"/>
        <w:rPr>
          <w:rFonts w:hint="eastAsia"/>
          <w:sz w:val="30"/>
          <w:szCs w:val="30"/>
        </w:rPr>
      </w:pPr>
      <w:r>
        <w:rPr>
          <w:rFonts w:hint="eastAsia"/>
          <w:sz w:val="30"/>
          <w:szCs w:val="30"/>
        </w:rPr>
        <w:t>（</w:t>
      </w:r>
      <w:r>
        <w:rPr>
          <w:rFonts w:hint="eastAsia"/>
          <w:sz w:val="30"/>
          <w:szCs w:val="30"/>
        </w:rPr>
        <w:t>2021</w:t>
      </w:r>
      <w:r>
        <w:rPr>
          <w:rFonts w:hint="eastAsia"/>
          <w:sz w:val="30"/>
          <w:szCs w:val="30"/>
        </w:rPr>
        <w:t>）鄂民申</w:t>
      </w:r>
      <w:r>
        <w:rPr>
          <w:rFonts w:hint="eastAsia"/>
          <w:sz w:val="30"/>
          <w:szCs w:val="30"/>
        </w:rPr>
        <w:t>4830</w:t>
      </w:r>
      <w:r>
        <w:rPr>
          <w:rFonts w:hint="eastAsia"/>
          <w:sz w:val="30"/>
          <w:szCs w:val="30"/>
        </w:rPr>
        <w:t>号</w:t>
      </w:r>
    </w:p>
    <w:p w:rsidR="00000000" w:rsidRDefault="00A37108">
      <w:pPr>
        <w:spacing w:line="500" w:lineRule="atLeast"/>
        <w:ind w:firstLine="600"/>
        <w:divId w:val="1910454846"/>
        <w:rPr>
          <w:rFonts w:hint="eastAsia"/>
          <w:sz w:val="30"/>
          <w:szCs w:val="30"/>
        </w:rPr>
      </w:pPr>
      <w:r>
        <w:rPr>
          <w:rFonts w:hint="eastAsia"/>
          <w:sz w:val="30"/>
          <w:szCs w:val="30"/>
        </w:rPr>
        <w:t>再审申请人（一审原告、二审被上诉人）：张诚坤，男，</w:t>
      </w:r>
      <w:r>
        <w:rPr>
          <w:rFonts w:hint="eastAsia"/>
          <w:sz w:val="30"/>
          <w:szCs w:val="30"/>
        </w:rPr>
        <w:t>1992</w:t>
      </w:r>
      <w:r>
        <w:rPr>
          <w:rFonts w:hint="eastAsia"/>
          <w:sz w:val="30"/>
          <w:szCs w:val="30"/>
        </w:rPr>
        <w:t>年</w:t>
      </w:r>
      <w:r>
        <w:rPr>
          <w:rFonts w:hint="eastAsia"/>
          <w:sz w:val="30"/>
          <w:szCs w:val="30"/>
        </w:rPr>
        <w:t>11</w:t>
      </w:r>
      <w:r>
        <w:rPr>
          <w:rFonts w:hint="eastAsia"/>
          <w:sz w:val="30"/>
          <w:szCs w:val="30"/>
        </w:rPr>
        <w:t>月</w:t>
      </w:r>
      <w:r>
        <w:rPr>
          <w:rFonts w:hint="eastAsia"/>
          <w:sz w:val="30"/>
          <w:szCs w:val="30"/>
        </w:rPr>
        <w:t>4</w:t>
      </w:r>
      <w:r>
        <w:rPr>
          <w:rFonts w:hint="eastAsia"/>
          <w:sz w:val="30"/>
          <w:szCs w:val="30"/>
        </w:rPr>
        <w:t>日出生，汉族，住湖北省宜昌市西陵区。</w:t>
      </w:r>
    </w:p>
    <w:p w:rsidR="00000000" w:rsidRDefault="00A37108">
      <w:pPr>
        <w:spacing w:line="500" w:lineRule="atLeast"/>
        <w:ind w:firstLine="600"/>
        <w:divId w:val="140851417"/>
        <w:rPr>
          <w:rFonts w:hint="eastAsia"/>
          <w:sz w:val="30"/>
          <w:szCs w:val="30"/>
        </w:rPr>
      </w:pPr>
      <w:r>
        <w:rPr>
          <w:rFonts w:hint="eastAsia"/>
          <w:sz w:val="30"/>
          <w:szCs w:val="30"/>
        </w:rPr>
        <w:t>委托诉讼代理人：张万金，男，</w:t>
      </w:r>
      <w:r>
        <w:rPr>
          <w:rFonts w:hint="eastAsia"/>
          <w:sz w:val="30"/>
          <w:szCs w:val="30"/>
        </w:rPr>
        <w:t>1939</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日出生，汉族，住湖北省宜昌市西陵区。系张诚坤的爷爷。</w:t>
      </w:r>
    </w:p>
    <w:p w:rsidR="00000000" w:rsidRDefault="00A37108">
      <w:pPr>
        <w:spacing w:line="500" w:lineRule="atLeast"/>
        <w:ind w:firstLine="600"/>
        <w:divId w:val="2086803345"/>
        <w:rPr>
          <w:rFonts w:hint="eastAsia"/>
          <w:sz w:val="30"/>
          <w:szCs w:val="30"/>
        </w:rPr>
      </w:pPr>
      <w:r>
        <w:rPr>
          <w:rFonts w:hint="eastAsia"/>
          <w:sz w:val="30"/>
          <w:szCs w:val="30"/>
        </w:rPr>
        <w:t>委托诉讼代理人：郑军，湖北楚星律师事务所律师。</w:t>
      </w:r>
    </w:p>
    <w:p w:rsidR="00000000" w:rsidRDefault="00A37108">
      <w:pPr>
        <w:spacing w:line="500" w:lineRule="atLeast"/>
        <w:ind w:firstLine="600"/>
        <w:divId w:val="557323068"/>
        <w:rPr>
          <w:rFonts w:hint="eastAsia"/>
          <w:sz w:val="30"/>
          <w:szCs w:val="30"/>
        </w:rPr>
      </w:pPr>
      <w:r>
        <w:rPr>
          <w:rFonts w:hint="eastAsia"/>
          <w:sz w:val="30"/>
          <w:szCs w:val="30"/>
        </w:rPr>
        <w:t>被申请人（一审被告、二审上诉人）：宜昌市第一人民医院。住所地：湖北省宜昌市西陵区湖堤街</w:t>
      </w:r>
      <w:r>
        <w:rPr>
          <w:rFonts w:hint="eastAsia"/>
          <w:sz w:val="30"/>
          <w:szCs w:val="30"/>
        </w:rPr>
        <w:t>4</w:t>
      </w:r>
      <w:r>
        <w:rPr>
          <w:rFonts w:hint="eastAsia"/>
          <w:sz w:val="30"/>
          <w:szCs w:val="30"/>
        </w:rPr>
        <w:t>号。</w:t>
      </w:r>
    </w:p>
    <w:p w:rsidR="00000000" w:rsidRDefault="00A37108">
      <w:pPr>
        <w:spacing w:line="500" w:lineRule="atLeast"/>
        <w:ind w:firstLine="600"/>
        <w:divId w:val="2007591705"/>
        <w:rPr>
          <w:rFonts w:hint="eastAsia"/>
          <w:sz w:val="30"/>
          <w:szCs w:val="30"/>
        </w:rPr>
      </w:pPr>
      <w:r>
        <w:rPr>
          <w:rFonts w:hint="eastAsia"/>
          <w:sz w:val="30"/>
          <w:szCs w:val="30"/>
        </w:rPr>
        <w:t>法定代表人：李俊明，该院院长。</w:t>
      </w:r>
    </w:p>
    <w:p w:rsidR="00000000" w:rsidRDefault="00A37108">
      <w:pPr>
        <w:spacing w:line="500" w:lineRule="atLeast"/>
        <w:ind w:firstLine="600"/>
        <w:divId w:val="1019817269"/>
        <w:rPr>
          <w:rFonts w:hint="eastAsia"/>
          <w:sz w:val="30"/>
          <w:szCs w:val="30"/>
        </w:rPr>
      </w:pPr>
      <w:r>
        <w:rPr>
          <w:rFonts w:hint="eastAsia"/>
          <w:sz w:val="30"/>
          <w:szCs w:val="30"/>
        </w:rPr>
        <w:t>委托诉讼代理人：张益仑，该院医务科职员。</w:t>
      </w:r>
    </w:p>
    <w:p w:rsidR="00000000" w:rsidRDefault="00A37108">
      <w:pPr>
        <w:spacing w:line="500" w:lineRule="atLeast"/>
        <w:ind w:firstLine="600"/>
        <w:divId w:val="1407849032"/>
        <w:rPr>
          <w:rFonts w:hint="eastAsia"/>
          <w:sz w:val="30"/>
          <w:szCs w:val="30"/>
        </w:rPr>
      </w:pPr>
      <w:r>
        <w:rPr>
          <w:rFonts w:hint="eastAsia"/>
          <w:sz w:val="30"/>
          <w:szCs w:val="30"/>
        </w:rPr>
        <w:t>委托诉讼代理人：商卫华，湖北百思特律师事务所律师。</w:t>
      </w:r>
    </w:p>
    <w:p w:rsidR="00000000" w:rsidRDefault="00A37108">
      <w:pPr>
        <w:spacing w:line="500" w:lineRule="atLeast"/>
        <w:ind w:firstLine="600"/>
        <w:divId w:val="1559778702"/>
        <w:rPr>
          <w:rFonts w:hint="eastAsia"/>
          <w:sz w:val="30"/>
          <w:szCs w:val="30"/>
        </w:rPr>
      </w:pPr>
      <w:r>
        <w:rPr>
          <w:rFonts w:hint="eastAsia"/>
          <w:sz w:val="30"/>
          <w:szCs w:val="30"/>
        </w:rPr>
        <w:t>再审申请人张诚坤因与被申请人宜昌市第一人民医院（以下简称宜昌市一医院）医疗损害责任纠纷一案，不服湖北省宜昌市</w:t>
      </w:r>
    </w:p>
    <w:p w:rsidR="00000000" w:rsidRDefault="00A37108">
      <w:pPr>
        <w:spacing w:line="500" w:lineRule="atLeast"/>
        <w:ind w:firstLine="600"/>
        <w:divId w:val="1148787242"/>
        <w:rPr>
          <w:rFonts w:hint="eastAsia"/>
          <w:sz w:val="30"/>
          <w:szCs w:val="30"/>
        </w:rPr>
      </w:pPr>
      <w:r>
        <w:rPr>
          <w:rFonts w:hint="eastAsia"/>
          <w:sz w:val="30"/>
          <w:szCs w:val="30"/>
        </w:rPr>
        <w:t>中级人民法院（</w:t>
      </w:r>
      <w:r>
        <w:rPr>
          <w:rFonts w:hint="eastAsia"/>
          <w:sz w:val="30"/>
          <w:szCs w:val="30"/>
        </w:rPr>
        <w:t>2021</w:t>
      </w:r>
      <w:r>
        <w:rPr>
          <w:rFonts w:hint="eastAsia"/>
          <w:sz w:val="30"/>
          <w:szCs w:val="30"/>
        </w:rPr>
        <w:t>）鄂</w:t>
      </w:r>
      <w:r>
        <w:rPr>
          <w:rFonts w:hint="eastAsia"/>
          <w:sz w:val="30"/>
          <w:szCs w:val="30"/>
        </w:rPr>
        <w:t>05</w:t>
      </w:r>
      <w:r>
        <w:rPr>
          <w:rFonts w:hint="eastAsia"/>
          <w:sz w:val="30"/>
          <w:szCs w:val="30"/>
        </w:rPr>
        <w:t>民终</w:t>
      </w:r>
      <w:r>
        <w:rPr>
          <w:rFonts w:hint="eastAsia"/>
          <w:sz w:val="30"/>
          <w:szCs w:val="30"/>
        </w:rPr>
        <w:t>241</w:t>
      </w:r>
      <w:r>
        <w:rPr>
          <w:rFonts w:hint="eastAsia"/>
          <w:sz w:val="30"/>
          <w:szCs w:val="30"/>
        </w:rPr>
        <w:t>号民事判决，向本院申请再审。本院依法组成合议庭进行了审查，现已审查终结。</w:t>
      </w:r>
    </w:p>
    <w:p w:rsidR="00000000" w:rsidRDefault="00A37108">
      <w:pPr>
        <w:spacing w:line="500" w:lineRule="atLeast"/>
        <w:ind w:firstLine="600"/>
        <w:divId w:val="1174757336"/>
        <w:rPr>
          <w:rFonts w:hint="eastAsia"/>
          <w:sz w:val="30"/>
          <w:szCs w:val="30"/>
        </w:rPr>
      </w:pPr>
      <w:r>
        <w:rPr>
          <w:rFonts w:hint="eastAsia"/>
          <w:sz w:val="30"/>
          <w:szCs w:val="30"/>
        </w:rPr>
        <w:t>张诚坤申请再审称，根据《中华人民共和国民事诉讼法》第二百条第（二）、（六）项的规定，本案应进行再审。主要理由：（一）原判决认为张诚坤不存在误工费，认定事实与适用法律不当，应当依法予以纠正。在</w:t>
      </w:r>
      <w:r>
        <w:rPr>
          <w:rFonts w:hint="eastAsia"/>
          <w:sz w:val="30"/>
          <w:szCs w:val="30"/>
        </w:rPr>
        <w:t>1999</w:t>
      </w:r>
      <w:r>
        <w:rPr>
          <w:rFonts w:hint="eastAsia"/>
          <w:sz w:val="30"/>
          <w:szCs w:val="30"/>
        </w:rPr>
        <w:t>年交通事故治疗结束后，如果没有之后被申</w:t>
      </w:r>
      <w:r>
        <w:rPr>
          <w:rFonts w:hint="eastAsia"/>
          <w:sz w:val="30"/>
          <w:szCs w:val="30"/>
        </w:rPr>
        <w:t>请人的治疗过错，张诚坤原本可以像正常人一样生活与工作。一审法院对张诚坤近十多年来的学习与生活进行了详细询问与了解，张诚坤也提交了学习与工作中的证书与照片，一审法院充分尊重了张诚坤的客观实际情况，对张诚坤在</w:t>
      </w:r>
      <w:r>
        <w:rPr>
          <w:rFonts w:hint="eastAsia"/>
          <w:sz w:val="30"/>
          <w:szCs w:val="30"/>
        </w:rPr>
        <w:t>2014</w:t>
      </w:r>
      <w:r>
        <w:rPr>
          <w:rFonts w:hint="eastAsia"/>
          <w:sz w:val="30"/>
          <w:szCs w:val="30"/>
        </w:rPr>
        <w:t>年至</w:t>
      </w:r>
      <w:r>
        <w:rPr>
          <w:rFonts w:hint="eastAsia"/>
          <w:sz w:val="30"/>
          <w:szCs w:val="30"/>
        </w:rPr>
        <w:t>2017</w:t>
      </w:r>
      <w:r>
        <w:rPr>
          <w:rFonts w:hint="eastAsia"/>
          <w:sz w:val="30"/>
          <w:szCs w:val="30"/>
        </w:rPr>
        <w:t>年期间因伤残而产生的误工费给予了</w:t>
      </w:r>
      <w:r>
        <w:rPr>
          <w:rFonts w:hint="eastAsia"/>
          <w:sz w:val="30"/>
          <w:szCs w:val="30"/>
        </w:rPr>
        <w:lastRenderedPageBreak/>
        <w:t>酌情认定，没有违反法律的规定，体现了以人为本的基本原则。而二审判决以所谓张诚坤不能证明其最近三年有劳动收入，认为张诚坤在整个治疗期间不存在误工费，彻底否定了原一审法院对误工费的酌情认定，是对司法解释错误的适用与理解。（二）二审判决对护理费分期给付的观点前后</w:t>
      </w:r>
      <w:r>
        <w:rPr>
          <w:rFonts w:hint="eastAsia"/>
          <w:sz w:val="30"/>
          <w:szCs w:val="30"/>
        </w:rPr>
        <w:t>自相矛盾，不符合公平、公正的司法原则，变相增加了当事人的诉累与维权的成本，系对法律的错误适用，应当予以纠正。</w:t>
      </w:r>
      <w:r>
        <w:rPr>
          <w:rFonts w:hint="eastAsia"/>
          <w:sz w:val="30"/>
          <w:szCs w:val="30"/>
        </w:rPr>
        <w:t>1.</w:t>
      </w:r>
      <w:r>
        <w:rPr>
          <w:rFonts w:hint="eastAsia"/>
          <w:sz w:val="30"/>
          <w:szCs w:val="30"/>
        </w:rPr>
        <w:t>《最高人民法院关于审理人身损害赔偿案件适用法律若干问题的解释》中并没有规定对于护理费的给付可以采取分期给付方式，而只是</w:t>
      </w:r>
    </w:p>
    <w:p w:rsidR="00000000" w:rsidRDefault="00A37108">
      <w:pPr>
        <w:spacing w:line="500" w:lineRule="atLeast"/>
        <w:ind w:firstLine="600"/>
        <w:divId w:val="304699081"/>
        <w:rPr>
          <w:rFonts w:hint="eastAsia"/>
          <w:sz w:val="30"/>
          <w:szCs w:val="30"/>
        </w:rPr>
      </w:pPr>
      <w:r>
        <w:rPr>
          <w:rFonts w:hint="eastAsia"/>
          <w:sz w:val="30"/>
          <w:szCs w:val="30"/>
        </w:rPr>
        <w:t>针对赔偿义务人请求以定期金方式给付残疾赔偿金、辅助器具费的，人民法院可以根据赔偿义务人的给付能力和提供担保的情况下，确定定期金方式给付相关费用。</w:t>
      </w:r>
      <w:r>
        <w:rPr>
          <w:rFonts w:hint="eastAsia"/>
          <w:sz w:val="30"/>
          <w:szCs w:val="30"/>
        </w:rPr>
        <w:t>2.</w:t>
      </w:r>
      <w:r>
        <w:rPr>
          <w:rFonts w:hint="eastAsia"/>
          <w:sz w:val="30"/>
          <w:szCs w:val="30"/>
        </w:rPr>
        <w:t>一次性支付</w:t>
      </w:r>
      <w:r>
        <w:rPr>
          <w:rFonts w:hint="eastAsia"/>
          <w:sz w:val="30"/>
          <w:szCs w:val="30"/>
        </w:rPr>
        <w:t>20</w:t>
      </w:r>
      <w:r>
        <w:rPr>
          <w:rFonts w:hint="eastAsia"/>
          <w:sz w:val="30"/>
          <w:szCs w:val="30"/>
        </w:rPr>
        <w:t>年的护理费，能够使张诚坤日后安心进行康复性治疗，便于其得到专心的照顾。</w:t>
      </w:r>
      <w:r>
        <w:rPr>
          <w:rFonts w:hint="eastAsia"/>
          <w:sz w:val="30"/>
          <w:szCs w:val="30"/>
        </w:rPr>
        <w:t>3.</w:t>
      </w:r>
      <w:r>
        <w:rPr>
          <w:rFonts w:hint="eastAsia"/>
          <w:sz w:val="30"/>
          <w:szCs w:val="30"/>
        </w:rPr>
        <w:t>二审判决并没有减少当事人的诉累。</w:t>
      </w:r>
    </w:p>
    <w:p w:rsidR="00000000" w:rsidRDefault="00A37108">
      <w:pPr>
        <w:spacing w:line="500" w:lineRule="atLeast"/>
        <w:ind w:firstLine="600"/>
        <w:divId w:val="282736850"/>
        <w:rPr>
          <w:rFonts w:hint="eastAsia"/>
          <w:sz w:val="30"/>
          <w:szCs w:val="30"/>
        </w:rPr>
      </w:pPr>
      <w:r>
        <w:rPr>
          <w:rFonts w:hint="eastAsia"/>
          <w:sz w:val="30"/>
          <w:szCs w:val="30"/>
        </w:rPr>
        <w:t>宜昌市一医</w:t>
      </w:r>
      <w:r>
        <w:rPr>
          <w:rFonts w:hint="eastAsia"/>
          <w:sz w:val="30"/>
          <w:szCs w:val="30"/>
        </w:rPr>
        <w:t>院辩称，张诚坤的再审申请理由不成立，应予驳回。（一）张诚坤于</w:t>
      </w:r>
      <w:r>
        <w:rPr>
          <w:rFonts w:hint="eastAsia"/>
          <w:sz w:val="30"/>
          <w:szCs w:val="30"/>
        </w:rPr>
        <w:t>1999</w:t>
      </w:r>
      <w:r>
        <w:rPr>
          <w:rFonts w:hint="eastAsia"/>
          <w:sz w:val="30"/>
          <w:szCs w:val="30"/>
        </w:rPr>
        <w:t>年发生严重车祸头颅受到重创，经医院全力抢救从死亡边缘抢回来，但仍无法避免落下后遗症和并发症，达不到一个正常儿童的生活状况。（二）二审判决依法纠正了一审判决的错误。</w:t>
      </w:r>
      <w:r>
        <w:rPr>
          <w:rFonts w:hint="eastAsia"/>
          <w:sz w:val="30"/>
          <w:szCs w:val="30"/>
        </w:rPr>
        <w:t>1.</w:t>
      </w:r>
      <w:r>
        <w:rPr>
          <w:rFonts w:hint="eastAsia"/>
          <w:sz w:val="30"/>
          <w:szCs w:val="30"/>
        </w:rPr>
        <w:t>张诚坤未产生误工损失。</w:t>
      </w:r>
      <w:r>
        <w:rPr>
          <w:rFonts w:hint="eastAsia"/>
          <w:sz w:val="30"/>
          <w:szCs w:val="30"/>
        </w:rPr>
        <w:t>2.</w:t>
      </w:r>
      <w:r>
        <w:rPr>
          <w:rFonts w:hint="eastAsia"/>
          <w:sz w:val="30"/>
          <w:szCs w:val="30"/>
        </w:rPr>
        <w:t>以“定期金”的方式支付护理费，既综合考虑了本案的实际情况，又严格遵守了法律的规定。</w:t>
      </w:r>
    </w:p>
    <w:p w:rsidR="00000000" w:rsidRDefault="00A37108">
      <w:pPr>
        <w:spacing w:line="500" w:lineRule="atLeast"/>
        <w:ind w:firstLine="600"/>
        <w:divId w:val="1619406590"/>
        <w:rPr>
          <w:rFonts w:hint="eastAsia"/>
          <w:sz w:val="30"/>
          <w:szCs w:val="30"/>
        </w:rPr>
      </w:pPr>
      <w:r>
        <w:rPr>
          <w:rFonts w:hint="eastAsia"/>
          <w:sz w:val="30"/>
          <w:szCs w:val="30"/>
        </w:rPr>
        <w:t>本院审查期间，张诚坤提交了如下证据：</w:t>
      </w:r>
    </w:p>
    <w:p w:rsidR="00000000" w:rsidRDefault="00A37108">
      <w:pPr>
        <w:spacing w:line="500" w:lineRule="atLeast"/>
        <w:ind w:firstLine="600"/>
        <w:divId w:val="1383365775"/>
        <w:rPr>
          <w:rFonts w:hint="eastAsia"/>
          <w:sz w:val="30"/>
          <w:szCs w:val="30"/>
        </w:rPr>
      </w:pPr>
      <w:r>
        <w:rPr>
          <w:rFonts w:hint="eastAsia"/>
          <w:sz w:val="30"/>
          <w:szCs w:val="30"/>
        </w:rPr>
        <w:t>证据一，银行存单；</w:t>
      </w:r>
    </w:p>
    <w:p w:rsidR="00000000" w:rsidRDefault="00A37108">
      <w:pPr>
        <w:spacing w:line="500" w:lineRule="atLeast"/>
        <w:ind w:firstLine="600"/>
        <w:divId w:val="964241568"/>
        <w:rPr>
          <w:rFonts w:hint="eastAsia"/>
          <w:sz w:val="30"/>
          <w:szCs w:val="30"/>
        </w:rPr>
      </w:pPr>
      <w:r>
        <w:rPr>
          <w:rFonts w:hint="eastAsia"/>
          <w:sz w:val="30"/>
          <w:szCs w:val="30"/>
        </w:rPr>
        <w:t>证据二，张诚坤开办音乐小课堂制作的名片及音乐考级证书、毕业证书等；</w:t>
      </w:r>
    </w:p>
    <w:p w:rsidR="00000000" w:rsidRDefault="00A37108">
      <w:pPr>
        <w:spacing w:line="500" w:lineRule="atLeast"/>
        <w:ind w:firstLine="600"/>
        <w:divId w:val="594290256"/>
        <w:rPr>
          <w:rFonts w:hint="eastAsia"/>
          <w:sz w:val="30"/>
          <w:szCs w:val="30"/>
        </w:rPr>
      </w:pPr>
      <w:r>
        <w:rPr>
          <w:rFonts w:hint="eastAsia"/>
          <w:sz w:val="30"/>
          <w:szCs w:val="30"/>
        </w:rPr>
        <w:t>证据三，证人黄某、袁某的书面证言；</w:t>
      </w:r>
    </w:p>
    <w:p w:rsidR="00000000" w:rsidRDefault="00A37108">
      <w:pPr>
        <w:spacing w:line="500" w:lineRule="atLeast"/>
        <w:ind w:firstLine="600"/>
        <w:divId w:val="1845322487"/>
        <w:rPr>
          <w:rFonts w:hint="eastAsia"/>
          <w:sz w:val="30"/>
          <w:szCs w:val="30"/>
        </w:rPr>
      </w:pPr>
      <w:r>
        <w:rPr>
          <w:rFonts w:hint="eastAsia"/>
          <w:sz w:val="30"/>
          <w:szCs w:val="30"/>
        </w:rPr>
        <w:lastRenderedPageBreak/>
        <w:t>证据四</w:t>
      </w:r>
      <w:r>
        <w:rPr>
          <w:rFonts w:hint="eastAsia"/>
          <w:sz w:val="30"/>
          <w:szCs w:val="30"/>
        </w:rPr>
        <w:t>，张诚坤姑妈出具的承诺书。</w:t>
      </w:r>
    </w:p>
    <w:p w:rsidR="00000000" w:rsidRDefault="00A37108">
      <w:pPr>
        <w:spacing w:line="500" w:lineRule="atLeast"/>
        <w:ind w:firstLine="600"/>
        <w:divId w:val="808942224"/>
        <w:rPr>
          <w:rFonts w:hint="eastAsia"/>
          <w:sz w:val="30"/>
          <w:szCs w:val="30"/>
        </w:rPr>
      </w:pPr>
      <w:r>
        <w:rPr>
          <w:rFonts w:hint="eastAsia"/>
          <w:sz w:val="30"/>
          <w:szCs w:val="30"/>
        </w:rPr>
        <w:t>上述证据拟证明张诚坤在办理残疾证之前具备一定程度的</w:t>
      </w:r>
    </w:p>
    <w:p w:rsidR="00000000" w:rsidRDefault="00A37108">
      <w:pPr>
        <w:spacing w:line="500" w:lineRule="atLeast"/>
        <w:ind w:firstLine="600"/>
        <w:divId w:val="17851105"/>
        <w:rPr>
          <w:rFonts w:hint="eastAsia"/>
          <w:sz w:val="30"/>
          <w:szCs w:val="30"/>
        </w:rPr>
      </w:pPr>
      <w:r>
        <w:rPr>
          <w:rFonts w:hint="eastAsia"/>
          <w:sz w:val="30"/>
          <w:szCs w:val="30"/>
        </w:rPr>
        <w:t>劳动能力，并且有劳动收入，因本案医疗事故造成收入减少，宜昌市一医院应赔偿误工费。</w:t>
      </w:r>
    </w:p>
    <w:p w:rsidR="00000000" w:rsidRDefault="00A37108">
      <w:pPr>
        <w:spacing w:line="500" w:lineRule="atLeast"/>
        <w:ind w:firstLine="600"/>
        <w:divId w:val="24673640"/>
        <w:rPr>
          <w:rFonts w:hint="eastAsia"/>
          <w:sz w:val="30"/>
          <w:szCs w:val="30"/>
        </w:rPr>
      </w:pPr>
      <w:r>
        <w:rPr>
          <w:rFonts w:hint="eastAsia"/>
          <w:sz w:val="30"/>
          <w:szCs w:val="30"/>
        </w:rPr>
        <w:t>宜昌市一医院质证认为，对证据一的真实性无异议，但仅证明张诚坤个人理财情况，不能证明其收入来源。证据二只能证明其参加过学习和获奖情况，不能证明劳动关系成立，且对其中名片的真实性有异议，并不能证明产生了收入。对证据三有异议，证人证言应当在一、二审提交，真实性不认可。证据四系个人的承诺，无法评判，承诺的后果无法预测。上述证据均不能证明张诚坤从事相关工作和</w:t>
      </w:r>
      <w:r>
        <w:rPr>
          <w:rFonts w:hint="eastAsia"/>
          <w:sz w:val="30"/>
          <w:szCs w:val="30"/>
        </w:rPr>
        <w:t>具有稳定收入。</w:t>
      </w:r>
    </w:p>
    <w:p w:rsidR="00000000" w:rsidRDefault="00A37108">
      <w:pPr>
        <w:spacing w:line="500" w:lineRule="atLeast"/>
        <w:ind w:firstLine="600"/>
        <w:divId w:val="545526606"/>
        <w:rPr>
          <w:rFonts w:hint="eastAsia"/>
          <w:sz w:val="30"/>
          <w:szCs w:val="30"/>
        </w:rPr>
      </w:pPr>
      <w:r>
        <w:rPr>
          <w:rFonts w:hint="eastAsia"/>
          <w:sz w:val="30"/>
          <w:szCs w:val="30"/>
        </w:rPr>
        <w:t>本院认为，证据一仅能反映张诚坤的银行存款情况，不能反映其存款的来源与本案的关联性；证据二不能达到证明张诚坤已从事音乐教学工作并有收入的证明目的；证据三系证人证言，客观上应在一、二审审理期间提交，其在本院审查期间提交属逾期举证，又未作出合理解释，根据《最高人民法院关于适用〈中华人民共和国民事诉讼法〉的解释》第三百八十七条关于“再审申请人提供的新的证据，能够证明原判决、裁定认定基本事实或者裁判结果错误的，应当认定为民事诉讼法第二百条第一项规定的情形。对于符合前款规定的证据，人民法院应当责令再审申</w:t>
      </w:r>
      <w:r>
        <w:rPr>
          <w:rFonts w:hint="eastAsia"/>
          <w:sz w:val="30"/>
          <w:szCs w:val="30"/>
        </w:rPr>
        <w:t>请人说明其逾期提供该证据的理由；拒不说明理由或者理由不成立的，</w:t>
      </w:r>
    </w:p>
    <w:p w:rsidR="00000000" w:rsidRDefault="00A37108">
      <w:pPr>
        <w:spacing w:line="500" w:lineRule="atLeast"/>
        <w:ind w:firstLine="600"/>
        <w:divId w:val="360672710"/>
        <w:rPr>
          <w:rFonts w:hint="eastAsia"/>
          <w:sz w:val="30"/>
          <w:szCs w:val="30"/>
        </w:rPr>
      </w:pPr>
      <w:r>
        <w:rPr>
          <w:rFonts w:hint="eastAsia"/>
          <w:sz w:val="30"/>
          <w:szCs w:val="30"/>
        </w:rPr>
        <w:t>依照民事诉讼法第六十五条第二款和本解释第一百零二条的规定处理”的规定，该证据不能作为认定本案事实的依据予以采信。证据四与本案事实无关联性，本院不予采信。</w:t>
      </w:r>
    </w:p>
    <w:p w:rsidR="00000000" w:rsidRDefault="00A37108">
      <w:pPr>
        <w:spacing w:line="500" w:lineRule="atLeast"/>
        <w:ind w:firstLine="600"/>
        <w:divId w:val="1982342252"/>
        <w:rPr>
          <w:rFonts w:hint="eastAsia"/>
          <w:sz w:val="30"/>
          <w:szCs w:val="30"/>
        </w:rPr>
      </w:pPr>
      <w:r>
        <w:rPr>
          <w:rFonts w:hint="eastAsia"/>
          <w:sz w:val="30"/>
          <w:szCs w:val="30"/>
        </w:rPr>
        <w:t>本院经审查认为，本案系医疗损害责任纠纷。再审审查的焦点问题为：</w:t>
      </w:r>
      <w:r>
        <w:rPr>
          <w:rFonts w:hint="eastAsia"/>
          <w:sz w:val="30"/>
          <w:szCs w:val="30"/>
        </w:rPr>
        <w:t>1.</w:t>
      </w:r>
      <w:r>
        <w:rPr>
          <w:rFonts w:hint="eastAsia"/>
          <w:sz w:val="30"/>
          <w:szCs w:val="30"/>
        </w:rPr>
        <w:t>张诚坤的误工费是否应予支持；</w:t>
      </w:r>
      <w:r>
        <w:rPr>
          <w:rFonts w:hint="eastAsia"/>
          <w:sz w:val="30"/>
          <w:szCs w:val="30"/>
        </w:rPr>
        <w:t>2.</w:t>
      </w:r>
      <w:r>
        <w:rPr>
          <w:rFonts w:hint="eastAsia"/>
          <w:sz w:val="30"/>
          <w:szCs w:val="30"/>
        </w:rPr>
        <w:t>护理费是否应分期给付。本院评判如下。</w:t>
      </w:r>
    </w:p>
    <w:p w:rsidR="00000000" w:rsidRDefault="00A37108">
      <w:pPr>
        <w:spacing w:line="500" w:lineRule="atLeast"/>
        <w:ind w:firstLine="600"/>
        <w:divId w:val="1739864208"/>
        <w:rPr>
          <w:rFonts w:hint="eastAsia"/>
          <w:sz w:val="30"/>
          <w:szCs w:val="30"/>
        </w:rPr>
      </w:pPr>
      <w:r>
        <w:rPr>
          <w:rFonts w:hint="eastAsia"/>
          <w:sz w:val="30"/>
          <w:szCs w:val="30"/>
        </w:rPr>
        <w:t>关于张诚坤的误工费是否应予支持的问题，本院认为，张诚坤对一审法院酌定的误工期间并无异议，即从张诚坤年满</w:t>
      </w:r>
      <w:r>
        <w:rPr>
          <w:rFonts w:hint="eastAsia"/>
          <w:sz w:val="30"/>
          <w:szCs w:val="30"/>
        </w:rPr>
        <w:t>22</w:t>
      </w:r>
      <w:r>
        <w:rPr>
          <w:rFonts w:hint="eastAsia"/>
          <w:sz w:val="30"/>
          <w:szCs w:val="30"/>
        </w:rPr>
        <w:t>周岁（</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4</w:t>
      </w:r>
      <w:r>
        <w:rPr>
          <w:rFonts w:hint="eastAsia"/>
          <w:sz w:val="30"/>
          <w:szCs w:val="30"/>
        </w:rPr>
        <w:t>日）起计算至</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持有残疾证时止，则张诚坤主张误工损失，应对其在此期间因无法从事正常工作而实际减少的收入承担举证责任。《最高人民法院关于审理人身损害赔偿案件适用法律若干问题的解释》第七条规定，“受害人有固定收入的，误工费按照实际减少的收入计算。受害人无固定收入的，按照其最近三年的平均收入计算；受害人不能举证证明其最近三年的平均收入状况的，可以参照受诉法院所在地相同或</w:t>
      </w:r>
      <w:r>
        <w:rPr>
          <w:rFonts w:hint="eastAsia"/>
          <w:sz w:val="30"/>
          <w:szCs w:val="30"/>
        </w:rPr>
        <w:t>者相近行业上一年度职工的平均工资计算。”再审期间张诚坤主张，其于</w:t>
      </w:r>
      <w:r>
        <w:rPr>
          <w:rFonts w:hint="eastAsia"/>
          <w:sz w:val="30"/>
          <w:szCs w:val="30"/>
        </w:rPr>
        <w:t>2014</w:t>
      </w:r>
      <w:r>
        <w:rPr>
          <w:rFonts w:hint="eastAsia"/>
          <w:sz w:val="30"/>
          <w:szCs w:val="30"/>
        </w:rPr>
        <w:t>年病倒前一直在家从事“音乐小课堂”教学工作，月收入三至四千元不等，则其应属无固定收入者，但在本案一、二审期间，张诚坤既未提交证据证明其从事音乐家教工作，又未按</w:t>
      </w:r>
    </w:p>
    <w:p w:rsidR="00000000" w:rsidRDefault="00A37108">
      <w:pPr>
        <w:spacing w:line="500" w:lineRule="atLeast"/>
        <w:ind w:firstLine="600"/>
        <w:divId w:val="231812695"/>
        <w:rPr>
          <w:rFonts w:hint="eastAsia"/>
          <w:sz w:val="30"/>
          <w:szCs w:val="30"/>
        </w:rPr>
      </w:pPr>
      <w:r>
        <w:rPr>
          <w:rFonts w:hint="eastAsia"/>
          <w:sz w:val="30"/>
          <w:szCs w:val="30"/>
        </w:rPr>
        <w:t>上述规定提交收入状况的证据，另外，其在本院审查期间提交的证据均不能产生推翻原判决认定事实的效力，故，二审法院未支持张诚坤关于误工损失的主张，具有事实和法律依据。</w:t>
      </w:r>
    </w:p>
    <w:p w:rsidR="00000000" w:rsidRDefault="00A37108">
      <w:pPr>
        <w:spacing w:line="500" w:lineRule="atLeast"/>
        <w:ind w:firstLine="600"/>
        <w:divId w:val="1612543381"/>
        <w:rPr>
          <w:rFonts w:hint="eastAsia"/>
          <w:sz w:val="30"/>
          <w:szCs w:val="30"/>
        </w:rPr>
      </w:pPr>
      <w:r>
        <w:rPr>
          <w:rFonts w:hint="eastAsia"/>
          <w:sz w:val="30"/>
          <w:szCs w:val="30"/>
        </w:rPr>
        <w:t>关于护理费是否应分期给付的问题，本院认为，《最高人民法院关于审理人身损害赔偿案件适用法律若干问题的解释》第八条规定，“</w:t>
      </w:r>
      <w:r>
        <w:rPr>
          <w:rFonts w:hint="eastAsia"/>
          <w:sz w:val="30"/>
          <w:szCs w:val="30"/>
        </w:rPr>
        <w:t>护理费根据护理人员的收入状况和护理人数、护理期限确定。护理人员有收入的，参照误工费的规定计算；护理人员没有收入或者雇佣护工的，参照当地护工从事同等级别护理的劳务报酬标准计算。护理人员原则上为一人，但医疗机构或者鉴定机构有明确意见的，可以参照确定护理人员人数。”目前，护理人员收入市场行情逐年上涨，护理费计算标准可能因护理人员年工资标准的变化而发生变化，而本案一审法院依照</w:t>
      </w:r>
      <w:r>
        <w:rPr>
          <w:rFonts w:hint="eastAsia"/>
          <w:sz w:val="30"/>
          <w:szCs w:val="30"/>
        </w:rPr>
        <w:t>2019</w:t>
      </w:r>
      <w:r>
        <w:rPr>
          <w:rFonts w:hint="eastAsia"/>
          <w:sz w:val="30"/>
          <w:szCs w:val="30"/>
        </w:rPr>
        <w:t>年其他服务业在岗职工人年平均工资收入的标准计算，一次性支付</w:t>
      </w:r>
      <w:r>
        <w:rPr>
          <w:rFonts w:hint="eastAsia"/>
          <w:sz w:val="30"/>
          <w:szCs w:val="30"/>
        </w:rPr>
        <w:t>20</w:t>
      </w:r>
      <w:r>
        <w:rPr>
          <w:rFonts w:hint="eastAsia"/>
          <w:sz w:val="30"/>
          <w:szCs w:val="30"/>
        </w:rPr>
        <w:t>年的护理费，有可能影响对张诚坤的后期护理，二审法院判决分期支付更为公平合</w:t>
      </w:r>
      <w:r>
        <w:rPr>
          <w:rFonts w:hint="eastAsia"/>
          <w:sz w:val="30"/>
          <w:szCs w:val="30"/>
        </w:rPr>
        <w:t>理。</w:t>
      </w:r>
    </w:p>
    <w:p w:rsidR="00000000" w:rsidRDefault="00A37108">
      <w:pPr>
        <w:spacing w:line="500" w:lineRule="atLeast"/>
        <w:ind w:firstLine="600"/>
        <w:divId w:val="293098266"/>
        <w:rPr>
          <w:rFonts w:hint="eastAsia"/>
          <w:sz w:val="30"/>
          <w:szCs w:val="30"/>
        </w:rPr>
      </w:pPr>
      <w:r>
        <w:rPr>
          <w:rFonts w:hint="eastAsia"/>
          <w:sz w:val="30"/>
          <w:szCs w:val="30"/>
        </w:rPr>
        <w:t>综上，张诚坤的再审申请不符合《中华人民共和国民事诉讼法》第二百条规定的情形，其申请再审的理由不成立，本院不予支持。</w:t>
      </w:r>
    </w:p>
    <w:p w:rsidR="00000000" w:rsidRDefault="00A37108">
      <w:pPr>
        <w:spacing w:line="500" w:lineRule="atLeast"/>
        <w:ind w:firstLine="600"/>
        <w:divId w:val="492526700"/>
        <w:rPr>
          <w:rFonts w:hint="eastAsia"/>
          <w:sz w:val="30"/>
          <w:szCs w:val="30"/>
        </w:rPr>
      </w:pPr>
      <w:r>
        <w:rPr>
          <w:rFonts w:hint="eastAsia"/>
          <w:sz w:val="30"/>
          <w:szCs w:val="30"/>
        </w:rPr>
        <w:t>依照《中华人民共和国民事诉讼法》第二百零四条第一款，</w:t>
      </w:r>
    </w:p>
    <w:p w:rsidR="00000000" w:rsidRDefault="00A37108">
      <w:pPr>
        <w:spacing w:line="500" w:lineRule="atLeast"/>
        <w:ind w:firstLine="600"/>
        <w:divId w:val="1047684372"/>
        <w:rPr>
          <w:rFonts w:hint="eastAsia"/>
          <w:sz w:val="30"/>
          <w:szCs w:val="30"/>
        </w:rPr>
      </w:pPr>
      <w:r>
        <w:rPr>
          <w:rFonts w:hint="eastAsia"/>
          <w:sz w:val="30"/>
          <w:szCs w:val="30"/>
        </w:rPr>
        <w:t>《最高人民法院关于适用〈中华人民共和国民事诉讼法〉的解释》第三百九十五条第二款规定，裁定如下：</w:t>
      </w:r>
    </w:p>
    <w:p w:rsidR="00000000" w:rsidRDefault="00A37108">
      <w:pPr>
        <w:spacing w:line="500" w:lineRule="atLeast"/>
        <w:ind w:firstLine="600"/>
        <w:divId w:val="1608807531"/>
        <w:rPr>
          <w:rFonts w:hint="eastAsia"/>
          <w:sz w:val="30"/>
          <w:szCs w:val="30"/>
        </w:rPr>
      </w:pPr>
      <w:r>
        <w:rPr>
          <w:rFonts w:hint="eastAsia"/>
          <w:sz w:val="30"/>
          <w:szCs w:val="30"/>
        </w:rPr>
        <w:t>驳回张诚坤的再审申请。</w:t>
      </w:r>
    </w:p>
    <w:p w:rsidR="00000000" w:rsidRDefault="00A37108">
      <w:pPr>
        <w:spacing w:line="500" w:lineRule="atLeast"/>
        <w:jc w:val="right"/>
        <w:divId w:val="134285146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万海莉</w:t>
      </w:r>
    </w:p>
    <w:p w:rsidR="00000000" w:rsidRDefault="00A37108">
      <w:pPr>
        <w:spacing w:line="500" w:lineRule="atLeast"/>
        <w:jc w:val="right"/>
        <w:divId w:val="6915452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吴爱华</w:t>
      </w:r>
    </w:p>
    <w:p w:rsidR="00000000" w:rsidRDefault="00A37108">
      <w:pPr>
        <w:spacing w:line="500" w:lineRule="atLeast"/>
        <w:jc w:val="right"/>
        <w:divId w:val="151133608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毛向荣</w:t>
      </w:r>
    </w:p>
    <w:p w:rsidR="00000000" w:rsidRDefault="00A37108">
      <w:pPr>
        <w:spacing w:line="500" w:lineRule="atLeast"/>
        <w:jc w:val="right"/>
        <w:divId w:val="1636792456"/>
        <w:rPr>
          <w:rFonts w:hint="eastAsia"/>
          <w:sz w:val="30"/>
          <w:szCs w:val="30"/>
        </w:rPr>
      </w:pPr>
      <w:r>
        <w:rPr>
          <w:rFonts w:hint="eastAsia"/>
          <w:sz w:val="30"/>
          <w:szCs w:val="30"/>
        </w:rPr>
        <w:t>二〇二一年十二月十日</w:t>
      </w:r>
    </w:p>
    <w:p w:rsidR="00000000" w:rsidRDefault="00A37108">
      <w:pPr>
        <w:spacing w:line="500" w:lineRule="atLeast"/>
        <w:jc w:val="right"/>
        <w:divId w:val="622463486"/>
        <w:rPr>
          <w:rFonts w:hint="eastAsia"/>
          <w:sz w:val="30"/>
          <w:szCs w:val="30"/>
        </w:rPr>
      </w:pPr>
      <w:r>
        <w:rPr>
          <w:rFonts w:hint="eastAsia"/>
          <w:sz w:val="30"/>
          <w:szCs w:val="30"/>
        </w:rPr>
        <w:t>法官助理　夏　伟</w:t>
      </w:r>
    </w:p>
    <w:p w:rsidR="00000000" w:rsidRDefault="00A37108">
      <w:pPr>
        <w:spacing w:line="500" w:lineRule="atLeast"/>
        <w:jc w:val="right"/>
        <w:divId w:val="1832789573"/>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刘　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108" w:rsidRDefault="00A37108" w:rsidP="00A37108">
      <w:r>
        <w:separator/>
      </w:r>
    </w:p>
  </w:endnote>
  <w:endnote w:type="continuationSeparator" w:id="0">
    <w:p w:rsidR="00A37108" w:rsidRDefault="00A37108" w:rsidP="00A37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108" w:rsidRDefault="00A37108" w:rsidP="00A37108">
      <w:r>
        <w:separator/>
      </w:r>
    </w:p>
  </w:footnote>
  <w:footnote w:type="continuationSeparator" w:id="0">
    <w:p w:rsidR="00A37108" w:rsidRDefault="00A37108" w:rsidP="00A371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37108"/>
    <w:rsid w:val="00A37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371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7108"/>
    <w:rPr>
      <w:rFonts w:ascii="宋体" w:eastAsia="宋体" w:hAnsi="宋体" w:cs="宋体"/>
      <w:sz w:val="18"/>
      <w:szCs w:val="18"/>
    </w:rPr>
  </w:style>
  <w:style w:type="paragraph" w:styleId="a5">
    <w:name w:val="footer"/>
    <w:basedOn w:val="a"/>
    <w:link w:val="a6"/>
    <w:uiPriority w:val="99"/>
    <w:unhideWhenUsed/>
    <w:rsid w:val="00A37108"/>
    <w:pPr>
      <w:tabs>
        <w:tab w:val="center" w:pos="4153"/>
        <w:tab w:val="right" w:pos="8306"/>
      </w:tabs>
      <w:snapToGrid w:val="0"/>
    </w:pPr>
    <w:rPr>
      <w:sz w:val="18"/>
      <w:szCs w:val="18"/>
    </w:rPr>
  </w:style>
  <w:style w:type="character" w:customStyle="1" w:styleId="a6">
    <w:name w:val="页脚 字符"/>
    <w:basedOn w:val="a0"/>
    <w:link w:val="a5"/>
    <w:uiPriority w:val="99"/>
    <w:rsid w:val="00A3710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1105">
      <w:marLeft w:val="0"/>
      <w:marRight w:val="0"/>
      <w:marTop w:val="10"/>
      <w:marBottom w:val="10"/>
      <w:divBdr>
        <w:top w:val="none" w:sz="0" w:space="0" w:color="auto"/>
        <w:left w:val="none" w:sz="0" w:space="0" w:color="auto"/>
        <w:bottom w:val="none" w:sz="0" w:space="0" w:color="auto"/>
        <w:right w:val="none" w:sz="0" w:space="0" w:color="auto"/>
      </w:divBdr>
    </w:div>
    <w:div w:id="24673640">
      <w:marLeft w:val="0"/>
      <w:marRight w:val="0"/>
      <w:marTop w:val="10"/>
      <w:marBottom w:val="10"/>
      <w:divBdr>
        <w:top w:val="none" w:sz="0" w:space="0" w:color="auto"/>
        <w:left w:val="none" w:sz="0" w:space="0" w:color="auto"/>
        <w:bottom w:val="none" w:sz="0" w:space="0" w:color="auto"/>
        <w:right w:val="none" w:sz="0" w:space="0" w:color="auto"/>
      </w:divBdr>
    </w:div>
    <w:div w:id="69154528">
      <w:marLeft w:val="0"/>
      <w:marRight w:val="720"/>
      <w:marTop w:val="10"/>
      <w:marBottom w:val="10"/>
      <w:divBdr>
        <w:top w:val="none" w:sz="0" w:space="0" w:color="auto"/>
        <w:left w:val="none" w:sz="0" w:space="0" w:color="auto"/>
        <w:bottom w:val="none" w:sz="0" w:space="0" w:color="auto"/>
        <w:right w:val="none" w:sz="0" w:space="0" w:color="auto"/>
      </w:divBdr>
    </w:div>
    <w:div w:id="140851417">
      <w:marLeft w:val="0"/>
      <w:marRight w:val="0"/>
      <w:marTop w:val="10"/>
      <w:marBottom w:val="10"/>
      <w:divBdr>
        <w:top w:val="none" w:sz="0" w:space="0" w:color="auto"/>
        <w:left w:val="none" w:sz="0" w:space="0" w:color="auto"/>
        <w:bottom w:val="none" w:sz="0" w:space="0" w:color="auto"/>
        <w:right w:val="none" w:sz="0" w:space="0" w:color="auto"/>
      </w:divBdr>
    </w:div>
    <w:div w:id="231812695">
      <w:marLeft w:val="0"/>
      <w:marRight w:val="0"/>
      <w:marTop w:val="10"/>
      <w:marBottom w:val="10"/>
      <w:divBdr>
        <w:top w:val="none" w:sz="0" w:space="0" w:color="auto"/>
        <w:left w:val="none" w:sz="0" w:space="0" w:color="auto"/>
        <w:bottom w:val="none" w:sz="0" w:space="0" w:color="auto"/>
        <w:right w:val="none" w:sz="0" w:space="0" w:color="auto"/>
      </w:divBdr>
    </w:div>
    <w:div w:id="282736850">
      <w:marLeft w:val="0"/>
      <w:marRight w:val="0"/>
      <w:marTop w:val="10"/>
      <w:marBottom w:val="10"/>
      <w:divBdr>
        <w:top w:val="none" w:sz="0" w:space="0" w:color="auto"/>
        <w:left w:val="none" w:sz="0" w:space="0" w:color="auto"/>
        <w:bottom w:val="none" w:sz="0" w:space="0" w:color="auto"/>
        <w:right w:val="none" w:sz="0" w:space="0" w:color="auto"/>
      </w:divBdr>
    </w:div>
    <w:div w:id="293098266">
      <w:marLeft w:val="0"/>
      <w:marRight w:val="0"/>
      <w:marTop w:val="10"/>
      <w:marBottom w:val="10"/>
      <w:divBdr>
        <w:top w:val="none" w:sz="0" w:space="0" w:color="auto"/>
        <w:left w:val="none" w:sz="0" w:space="0" w:color="auto"/>
        <w:bottom w:val="none" w:sz="0" w:space="0" w:color="auto"/>
        <w:right w:val="none" w:sz="0" w:space="0" w:color="auto"/>
      </w:divBdr>
    </w:div>
    <w:div w:id="304699081">
      <w:marLeft w:val="0"/>
      <w:marRight w:val="0"/>
      <w:marTop w:val="10"/>
      <w:marBottom w:val="10"/>
      <w:divBdr>
        <w:top w:val="none" w:sz="0" w:space="0" w:color="auto"/>
        <w:left w:val="none" w:sz="0" w:space="0" w:color="auto"/>
        <w:bottom w:val="none" w:sz="0" w:space="0" w:color="auto"/>
        <w:right w:val="none" w:sz="0" w:space="0" w:color="auto"/>
      </w:divBdr>
    </w:div>
    <w:div w:id="360672710">
      <w:marLeft w:val="0"/>
      <w:marRight w:val="0"/>
      <w:marTop w:val="10"/>
      <w:marBottom w:val="10"/>
      <w:divBdr>
        <w:top w:val="none" w:sz="0" w:space="0" w:color="auto"/>
        <w:left w:val="none" w:sz="0" w:space="0" w:color="auto"/>
        <w:bottom w:val="none" w:sz="0" w:space="0" w:color="auto"/>
        <w:right w:val="none" w:sz="0" w:space="0" w:color="auto"/>
      </w:divBdr>
    </w:div>
    <w:div w:id="483352627">
      <w:marLeft w:val="0"/>
      <w:marRight w:val="0"/>
      <w:marTop w:val="10"/>
      <w:marBottom w:val="10"/>
      <w:divBdr>
        <w:top w:val="none" w:sz="0" w:space="0" w:color="auto"/>
        <w:left w:val="none" w:sz="0" w:space="0" w:color="auto"/>
        <w:bottom w:val="none" w:sz="0" w:space="0" w:color="auto"/>
        <w:right w:val="none" w:sz="0" w:space="0" w:color="auto"/>
      </w:divBdr>
    </w:div>
    <w:div w:id="492526700">
      <w:marLeft w:val="0"/>
      <w:marRight w:val="0"/>
      <w:marTop w:val="10"/>
      <w:marBottom w:val="10"/>
      <w:divBdr>
        <w:top w:val="none" w:sz="0" w:space="0" w:color="auto"/>
        <w:left w:val="none" w:sz="0" w:space="0" w:color="auto"/>
        <w:bottom w:val="none" w:sz="0" w:space="0" w:color="auto"/>
        <w:right w:val="none" w:sz="0" w:space="0" w:color="auto"/>
      </w:divBdr>
    </w:div>
    <w:div w:id="545526606">
      <w:marLeft w:val="0"/>
      <w:marRight w:val="0"/>
      <w:marTop w:val="10"/>
      <w:marBottom w:val="10"/>
      <w:divBdr>
        <w:top w:val="none" w:sz="0" w:space="0" w:color="auto"/>
        <w:left w:val="none" w:sz="0" w:space="0" w:color="auto"/>
        <w:bottom w:val="none" w:sz="0" w:space="0" w:color="auto"/>
        <w:right w:val="none" w:sz="0" w:space="0" w:color="auto"/>
      </w:divBdr>
    </w:div>
    <w:div w:id="557323068">
      <w:marLeft w:val="0"/>
      <w:marRight w:val="0"/>
      <w:marTop w:val="10"/>
      <w:marBottom w:val="10"/>
      <w:divBdr>
        <w:top w:val="none" w:sz="0" w:space="0" w:color="auto"/>
        <w:left w:val="none" w:sz="0" w:space="0" w:color="auto"/>
        <w:bottom w:val="none" w:sz="0" w:space="0" w:color="auto"/>
        <w:right w:val="none" w:sz="0" w:space="0" w:color="auto"/>
      </w:divBdr>
    </w:div>
    <w:div w:id="594290256">
      <w:marLeft w:val="0"/>
      <w:marRight w:val="0"/>
      <w:marTop w:val="10"/>
      <w:marBottom w:val="10"/>
      <w:divBdr>
        <w:top w:val="none" w:sz="0" w:space="0" w:color="auto"/>
        <w:left w:val="none" w:sz="0" w:space="0" w:color="auto"/>
        <w:bottom w:val="none" w:sz="0" w:space="0" w:color="auto"/>
        <w:right w:val="none" w:sz="0" w:space="0" w:color="auto"/>
      </w:divBdr>
    </w:div>
    <w:div w:id="622463486">
      <w:marLeft w:val="0"/>
      <w:marRight w:val="720"/>
      <w:marTop w:val="10"/>
      <w:marBottom w:val="10"/>
      <w:divBdr>
        <w:top w:val="none" w:sz="0" w:space="0" w:color="auto"/>
        <w:left w:val="none" w:sz="0" w:space="0" w:color="auto"/>
        <w:bottom w:val="none" w:sz="0" w:space="0" w:color="auto"/>
        <w:right w:val="none" w:sz="0" w:space="0" w:color="auto"/>
      </w:divBdr>
    </w:div>
    <w:div w:id="808942224">
      <w:marLeft w:val="0"/>
      <w:marRight w:val="0"/>
      <w:marTop w:val="10"/>
      <w:marBottom w:val="10"/>
      <w:divBdr>
        <w:top w:val="none" w:sz="0" w:space="0" w:color="auto"/>
        <w:left w:val="none" w:sz="0" w:space="0" w:color="auto"/>
        <w:bottom w:val="none" w:sz="0" w:space="0" w:color="auto"/>
        <w:right w:val="none" w:sz="0" w:space="0" w:color="auto"/>
      </w:divBdr>
    </w:div>
    <w:div w:id="904025357">
      <w:marLeft w:val="0"/>
      <w:marRight w:val="0"/>
      <w:marTop w:val="10"/>
      <w:marBottom w:val="10"/>
      <w:divBdr>
        <w:top w:val="none" w:sz="0" w:space="0" w:color="auto"/>
        <w:left w:val="none" w:sz="0" w:space="0" w:color="auto"/>
        <w:bottom w:val="none" w:sz="0" w:space="0" w:color="auto"/>
        <w:right w:val="none" w:sz="0" w:space="0" w:color="auto"/>
      </w:divBdr>
    </w:div>
    <w:div w:id="964241568">
      <w:marLeft w:val="0"/>
      <w:marRight w:val="0"/>
      <w:marTop w:val="10"/>
      <w:marBottom w:val="10"/>
      <w:divBdr>
        <w:top w:val="none" w:sz="0" w:space="0" w:color="auto"/>
        <w:left w:val="none" w:sz="0" w:space="0" w:color="auto"/>
        <w:bottom w:val="none" w:sz="0" w:space="0" w:color="auto"/>
        <w:right w:val="none" w:sz="0" w:space="0" w:color="auto"/>
      </w:divBdr>
    </w:div>
    <w:div w:id="1019817269">
      <w:marLeft w:val="0"/>
      <w:marRight w:val="0"/>
      <w:marTop w:val="10"/>
      <w:marBottom w:val="10"/>
      <w:divBdr>
        <w:top w:val="none" w:sz="0" w:space="0" w:color="auto"/>
        <w:left w:val="none" w:sz="0" w:space="0" w:color="auto"/>
        <w:bottom w:val="none" w:sz="0" w:space="0" w:color="auto"/>
        <w:right w:val="none" w:sz="0" w:space="0" w:color="auto"/>
      </w:divBdr>
    </w:div>
    <w:div w:id="1047684372">
      <w:marLeft w:val="0"/>
      <w:marRight w:val="0"/>
      <w:marTop w:val="10"/>
      <w:marBottom w:val="10"/>
      <w:divBdr>
        <w:top w:val="none" w:sz="0" w:space="0" w:color="auto"/>
        <w:left w:val="none" w:sz="0" w:space="0" w:color="auto"/>
        <w:bottom w:val="none" w:sz="0" w:space="0" w:color="auto"/>
        <w:right w:val="none" w:sz="0" w:space="0" w:color="auto"/>
      </w:divBdr>
    </w:div>
    <w:div w:id="1148787242">
      <w:marLeft w:val="0"/>
      <w:marRight w:val="0"/>
      <w:marTop w:val="10"/>
      <w:marBottom w:val="10"/>
      <w:divBdr>
        <w:top w:val="none" w:sz="0" w:space="0" w:color="auto"/>
        <w:left w:val="none" w:sz="0" w:space="0" w:color="auto"/>
        <w:bottom w:val="none" w:sz="0" w:space="0" w:color="auto"/>
        <w:right w:val="none" w:sz="0" w:space="0" w:color="auto"/>
      </w:divBdr>
    </w:div>
    <w:div w:id="1174757336">
      <w:marLeft w:val="0"/>
      <w:marRight w:val="0"/>
      <w:marTop w:val="10"/>
      <w:marBottom w:val="10"/>
      <w:divBdr>
        <w:top w:val="none" w:sz="0" w:space="0" w:color="auto"/>
        <w:left w:val="none" w:sz="0" w:space="0" w:color="auto"/>
        <w:bottom w:val="none" w:sz="0" w:space="0" w:color="auto"/>
        <w:right w:val="none" w:sz="0" w:space="0" w:color="auto"/>
      </w:divBdr>
    </w:div>
    <w:div w:id="1342851461">
      <w:marLeft w:val="0"/>
      <w:marRight w:val="720"/>
      <w:marTop w:val="10"/>
      <w:marBottom w:val="10"/>
      <w:divBdr>
        <w:top w:val="none" w:sz="0" w:space="0" w:color="auto"/>
        <w:left w:val="none" w:sz="0" w:space="0" w:color="auto"/>
        <w:bottom w:val="none" w:sz="0" w:space="0" w:color="auto"/>
        <w:right w:val="none" w:sz="0" w:space="0" w:color="auto"/>
      </w:divBdr>
    </w:div>
    <w:div w:id="1383365775">
      <w:marLeft w:val="0"/>
      <w:marRight w:val="0"/>
      <w:marTop w:val="10"/>
      <w:marBottom w:val="10"/>
      <w:divBdr>
        <w:top w:val="none" w:sz="0" w:space="0" w:color="auto"/>
        <w:left w:val="none" w:sz="0" w:space="0" w:color="auto"/>
        <w:bottom w:val="none" w:sz="0" w:space="0" w:color="auto"/>
        <w:right w:val="none" w:sz="0" w:space="0" w:color="auto"/>
      </w:divBdr>
    </w:div>
    <w:div w:id="1407849032">
      <w:marLeft w:val="0"/>
      <w:marRight w:val="0"/>
      <w:marTop w:val="10"/>
      <w:marBottom w:val="10"/>
      <w:divBdr>
        <w:top w:val="none" w:sz="0" w:space="0" w:color="auto"/>
        <w:left w:val="none" w:sz="0" w:space="0" w:color="auto"/>
        <w:bottom w:val="none" w:sz="0" w:space="0" w:color="auto"/>
        <w:right w:val="none" w:sz="0" w:space="0" w:color="auto"/>
      </w:divBdr>
    </w:div>
    <w:div w:id="1511336088">
      <w:marLeft w:val="0"/>
      <w:marRight w:val="720"/>
      <w:marTop w:val="10"/>
      <w:marBottom w:val="10"/>
      <w:divBdr>
        <w:top w:val="none" w:sz="0" w:space="0" w:color="auto"/>
        <w:left w:val="none" w:sz="0" w:space="0" w:color="auto"/>
        <w:bottom w:val="none" w:sz="0" w:space="0" w:color="auto"/>
        <w:right w:val="none" w:sz="0" w:space="0" w:color="auto"/>
      </w:divBdr>
    </w:div>
    <w:div w:id="1559778702">
      <w:marLeft w:val="0"/>
      <w:marRight w:val="0"/>
      <w:marTop w:val="10"/>
      <w:marBottom w:val="10"/>
      <w:divBdr>
        <w:top w:val="none" w:sz="0" w:space="0" w:color="auto"/>
        <w:left w:val="none" w:sz="0" w:space="0" w:color="auto"/>
        <w:bottom w:val="none" w:sz="0" w:space="0" w:color="auto"/>
        <w:right w:val="none" w:sz="0" w:space="0" w:color="auto"/>
      </w:divBdr>
    </w:div>
    <w:div w:id="1608807531">
      <w:marLeft w:val="0"/>
      <w:marRight w:val="0"/>
      <w:marTop w:val="10"/>
      <w:marBottom w:val="10"/>
      <w:divBdr>
        <w:top w:val="none" w:sz="0" w:space="0" w:color="auto"/>
        <w:left w:val="none" w:sz="0" w:space="0" w:color="auto"/>
        <w:bottom w:val="none" w:sz="0" w:space="0" w:color="auto"/>
        <w:right w:val="none" w:sz="0" w:space="0" w:color="auto"/>
      </w:divBdr>
    </w:div>
    <w:div w:id="1612543381">
      <w:marLeft w:val="0"/>
      <w:marRight w:val="0"/>
      <w:marTop w:val="10"/>
      <w:marBottom w:val="10"/>
      <w:divBdr>
        <w:top w:val="none" w:sz="0" w:space="0" w:color="auto"/>
        <w:left w:val="none" w:sz="0" w:space="0" w:color="auto"/>
        <w:bottom w:val="none" w:sz="0" w:space="0" w:color="auto"/>
        <w:right w:val="none" w:sz="0" w:space="0" w:color="auto"/>
      </w:divBdr>
    </w:div>
    <w:div w:id="1619406590">
      <w:marLeft w:val="0"/>
      <w:marRight w:val="0"/>
      <w:marTop w:val="10"/>
      <w:marBottom w:val="10"/>
      <w:divBdr>
        <w:top w:val="none" w:sz="0" w:space="0" w:color="auto"/>
        <w:left w:val="none" w:sz="0" w:space="0" w:color="auto"/>
        <w:bottom w:val="none" w:sz="0" w:space="0" w:color="auto"/>
        <w:right w:val="none" w:sz="0" w:space="0" w:color="auto"/>
      </w:divBdr>
    </w:div>
    <w:div w:id="1636792456">
      <w:marLeft w:val="0"/>
      <w:marRight w:val="720"/>
      <w:marTop w:val="10"/>
      <w:marBottom w:val="10"/>
      <w:divBdr>
        <w:top w:val="none" w:sz="0" w:space="0" w:color="auto"/>
        <w:left w:val="none" w:sz="0" w:space="0" w:color="auto"/>
        <w:bottom w:val="none" w:sz="0" w:space="0" w:color="auto"/>
        <w:right w:val="none" w:sz="0" w:space="0" w:color="auto"/>
      </w:divBdr>
    </w:div>
    <w:div w:id="1739864208">
      <w:marLeft w:val="0"/>
      <w:marRight w:val="0"/>
      <w:marTop w:val="10"/>
      <w:marBottom w:val="10"/>
      <w:divBdr>
        <w:top w:val="none" w:sz="0" w:space="0" w:color="auto"/>
        <w:left w:val="none" w:sz="0" w:space="0" w:color="auto"/>
        <w:bottom w:val="none" w:sz="0" w:space="0" w:color="auto"/>
        <w:right w:val="none" w:sz="0" w:space="0" w:color="auto"/>
      </w:divBdr>
    </w:div>
    <w:div w:id="1832789573">
      <w:marLeft w:val="0"/>
      <w:marRight w:val="720"/>
      <w:marTop w:val="10"/>
      <w:marBottom w:val="10"/>
      <w:divBdr>
        <w:top w:val="none" w:sz="0" w:space="0" w:color="auto"/>
        <w:left w:val="none" w:sz="0" w:space="0" w:color="auto"/>
        <w:bottom w:val="none" w:sz="0" w:space="0" w:color="auto"/>
        <w:right w:val="none" w:sz="0" w:space="0" w:color="auto"/>
      </w:divBdr>
    </w:div>
    <w:div w:id="1845322487">
      <w:marLeft w:val="0"/>
      <w:marRight w:val="0"/>
      <w:marTop w:val="10"/>
      <w:marBottom w:val="10"/>
      <w:divBdr>
        <w:top w:val="none" w:sz="0" w:space="0" w:color="auto"/>
        <w:left w:val="none" w:sz="0" w:space="0" w:color="auto"/>
        <w:bottom w:val="none" w:sz="0" w:space="0" w:color="auto"/>
        <w:right w:val="none" w:sz="0" w:space="0" w:color="auto"/>
      </w:divBdr>
    </w:div>
    <w:div w:id="1910454846">
      <w:marLeft w:val="0"/>
      <w:marRight w:val="0"/>
      <w:marTop w:val="10"/>
      <w:marBottom w:val="10"/>
      <w:divBdr>
        <w:top w:val="none" w:sz="0" w:space="0" w:color="auto"/>
        <w:left w:val="none" w:sz="0" w:space="0" w:color="auto"/>
        <w:bottom w:val="none" w:sz="0" w:space="0" w:color="auto"/>
        <w:right w:val="none" w:sz="0" w:space="0" w:color="auto"/>
      </w:divBdr>
    </w:div>
    <w:div w:id="1982342252">
      <w:marLeft w:val="0"/>
      <w:marRight w:val="0"/>
      <w:marTop w:val="10"/>
      <w:marBottom w:val="10"/>
      <w:divBdr>
        <w:top w:val="none" w:sz="0" w:space="0" w:color="auto"/>
        <w:left w:val="none" w:sz="0" w:space="0" w:color="auto"/>
        <w:bottom w:val="none" w:sz="0" w:space="0" w:color="auto"/>
        <w:right w:val="none" w:sz="0" w:space="0" w:color="auto"/>
      </w:divBdr>
    </w:div>
    <w:div w:id="2007591705">
      <w:marLeft w:val="0"/>
      <w:marRight w:val="0"/>
      <w:marTop w:val="10"/>
      <w:marBottom w:val="10"/>
      <w:divBdr>
        <w:top w:val="none" w:sz="0" w:space="0" w:color="auto"/>
        <w:left w:val="none" w:sz="0" w:space="0" w:color="auto"/>
        <w:bottom w:val="none" w:sz="0" w:space="0" w:color="auto"/>
        <w:right w:val="none" w:sz="0" w:space="0" w:color="auto"/>
      </w:divBdr>
    </w:div>
    <w:div w:id="2080053676">
      <w:marLeft w:val="0"/>
      <w:marRight w:val="0"/>
      <w:marTop w:val="10"/>
      <w:marBottom w:val="10"/>
      <w:divBdr>
        <w:top w:val="none" w:sz="0" w:space="0" w:color="auto"/>
        <w:left w:val="none" w:sz="0" w:space="0" w:color="auto"/>
        <w:bottom w:val="none" w:sz="0" w:space="0" w:color="auto"/>
        <w:right w:val="none" w:sz="0" w:space="0" w:color="auto"/>
      </w:divBdr>
    </w:div>
    <w:div w:id="208680334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