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40543">
      <w:pPr>
        <w:pStyle w:val="a3"/>
      </w:pPr>
      <w:bookmarkStart w:id="0" w:name="_GoBack"/>
      <w:bookmarkEnd w:id="0"/>
      <w:r>
        <w:t> </w:t>
      </w:r>
    </w:p>
    <w:p w:rsidR="00000000" w:rsidRDefault="00940543">
      <w:pPr>
        <w:spacing w:line="500" w:lineRule="atLeast"/>
        <w:jc w:val="center"/>
        <w:divId w:val="1235969886"/>
        <w:rPr>
          <w:rFonts w:ascii="黑体" w:eastAsia="黑体" w:hAnsi="黑体"/>
          <w:sz w:val="36"/>
          <w:szCs w:val="36"/>
        </w:rPr>
      </w:pPr>
      <w:r>
        <w:rPr>
          <w:rFonts w:ascii="黑体" w:eastAsia="黑体" w:hAnsi="黑体" w:hint="eastAsia"/>
          <w:sz w:val="36"/>
          <w:szCs w:val="36"/>
        </w:rPr>
        <w:t>广东省高级人民法院</w:t>
      </w:r>
    </w:p>
    <w:p w:rsidR="00000000" w:rsidRDefault="00940543">
      <w:pPr>
        <w:spacing w:line="500" w:lineRule="atLeast"/>
        <w:jc w:val="center"/>
        <w:divId w:val="86691323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940543">
      <w:pPr>
        <w:spacing w:line="500" w:lineRule="atLeast"/>
        <w:jc w:val="right"/>
        <w:divId w:val="1904631848"/>
        <w:rPr>
          <w:rFonts w:hint="eastAsia"/>
          <w:sz w:val="30"/>
          <w:szCs w:val="30"/>
        </w:rPr>
      </w:pPr>
      <w:r>
        <w:rPr>
          <w:rFonts w:hint="eastAsia"/>
          <w:sz w:val="30"/>
          <w:szCs w:val="30"/>
        </w:rPr>
        <w:t>(2019)</w:t>
      </w:r>
      <w:r>
        <w:rPr>
          <w:rFonts w:hint="eastAsia"/>
          <w:sz w:val="30"/>
          <w:szCs w:val="30"/>
        </w:rPr>
        <w:t>粤民申</w:t>
      </w:r>
      <w:r>
        <w:rPr>
          <w:rFonts w:hint="eastAsia"/>
          <w:sz w:val="30"/>
          <w:szCs w:val="30"/>
        </w:rPr>
        <w:t>12534</w:t>
      </w:r>
      <w:r>
        <w:rPr>
          <w:rFonts w:hint="eastAsia"/>
          <w:sz w:val="30"/>
          <w:szCs w:val="30"/>
        </w:rPr>
        <w:t>号</w:t>
      </w:r>
    </w:p>
    <w:p w:rsidR="00000000" w:rsidRDefault="00940543">
      <w:pPr>
        <w:spacing w:line="500" w:lineRule="atLeast"/>
        <w:ind w:firstLine="600"/>
        <w:divId w:val="201670598"/>
        <w:rPr>
          <w:rFonts w:hint="eastAsia"/>
          <w:sz w:val="30"/>
          <w:szCs w:val="30"/>
        </w:rPr>
      </w:pPr>
      <w:r>
        <w:rPr>
          <w:rFonts w:hint="eastAsia"/>
          <w:sz w:val="30"/>
          <w:szCs w:val="30"/>
        </w:rPr>
        <w:t>再审申请人</w:t>
      </w:r>
      <w:r>
        <w:rPr>
          <w:rFonts w:hint="eastAsia"/>
          <w:sz w:val="30"/>
          <w:szCs w:val="30"/>
        </w:rPr>
        <w:t>(</w:t>
      </w:r>
      <w:r>
        <w:rPr>
          <w:rFonts w:hint="eastAsia"/>
          <w:sz w:val="30"/>
          <w:szCs w:val="30"/>
        </w:rPr>
        <w:t>一审原告、二审上诉人</w:t>
      </w:r>
      <w:r>
        <w:rPr>
          <w:rFonts w:hint="eastAsia"/>
          <w:sz w:val="30"/>
          <w:szCs w:val="30"/>
        </w:rPr>
        <w:t>)</w:t>
      </w:r>
      <w:r>
        <w:rPr>
          <w:rFonts w:hint="eastAsia"/>
          <w:sz w:val="30"/>
          <w:szCs w:val="30"/>
        </w:rPr>
        <w:t>：曾万华，男，</w:t>
      </w:r>
      <w:r>
        <w:rPr>
          <w:rFonts w:hint="eastAsia"/>
          <w:sz w:val="30"/>
          <w:szCs w:val="30"/>
        </w:rPr>
        <w:t>1968</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日出生，汉族，住广东省珠海市香洲区。</w:t>
      </w:r>
    </w:p>
    <w:p w:rsidR="00000000" w:rsidRDefault="00940543">
      <w:pPr>
        <w:spacing w:line="500" w:lineRule="atLeast"/>
        <w:ind w:firstLine="600"/>
        <w:divId w:val="391736149"/>
        <w:rPr>
          <w:rFonts w:hint="eastAsia"/>
          <w:sz w:val="30"/>
          <w:szCs w:val="30"/>
        </w:rPr>
      </w:pPr>
      <w:r>
        <w:rPr>
          <w:rFonts w:hint="eastAsia"/>
          <w:sz w:val="30"/>
          <w:szCs w:val="30"/>
        </w:rPr>
        <w:t>被申请人（一审被告、二审上诉人）：珠海市慢性病防治中心。住所地：广东省珠海市香洲区人民东路</w:t>
      </w:r>
      <w:r>
        <w:rPr>
          <w:rFonts w:hint="eastAsia"/>
          <w:sz w:val="30"/>
          <w:szCs w:val="30"/>
        </w:rPr>
        <w:t>323</w:t>
      </w:r>
      <w:r>
        <w:rPr>
          <w:rFonts w:hint="eastAsia"/>
          <w:sz w:val="30"/>
          <w:szCs w:val="30"/>
        </w:rPr>
        <w:t>号。</w:t>
      </w:r>
    </w:p>
    <w:p w:rsidR="00000000" w:rsidRDefault="00940543">
      <w:pPr>
        <w:spacing w:line="500" w:lineRule="atLeast"/>
        <w:ind w:firstLine="600"/>
        <w:divId w:val="901020445"/>
        <w:rPr>
          <w:rFonts w:hint="eastAsia"/>
          <w:sz w:val="30"/>
          <w:szCs w:val="30"/>
        </w:rPr>
      </w:pPr>
      <w:r>
        <w:rPr>
          <w:rFonts w:hint="eastAsia"/>
          <w:sz w:val="30"/>
          <w:szCs w:val="30"/>
        </w:rPr>
        <w:t>法定代表人：叶浩森。</w:t>
      </w:r>
    </w:p>
    <w:p w:rsidR="00000000" w:rsidRDefault="00940543">
      <w:pPr>
        <w:spacing w:line="500" w:lineRule="atLeast"/>
        <w:ind w:firstLine="600"/>
        <w:divId w:val="825315681"/>
        <w:rPr>
          <w:rFonts w:hint="eastAsia"/>
          <w:sz w:val="30"/>
          <w:szCs w:val="30"/>
        </w:rPr>
      </w:pPr>
      <w:r>
        <w:rPr>
          <w:rFonts w:hint="eastAsia"/>
          <w:sz w:val="30"/>
          <w:szCs w:val="30"/>
        </w:rPr>
        <w:t>再审申请人曾万华因与被申请人珠海市慢性病防治中心医疗损害责任纠纷一案，不服广东省珠海市中级人民法院（</w:t>
      </w:r>
      <w:r>
        <w:rPr>
          <w:rFonts w:hint="eastAsia"/>
          <w:sz w:val="30"/>
          <w:szCs w:val="30"/>
        </w:rPr>
        <w:t>2019</w:t>
      </w:r>
      <w:r>
        <w:rPr>
          <w:rFonts w:hint="eastAsia"/>
          <w:sz w:val="30"/>
          <w:szCs w:val="30"/>
        </w:rPr>
        <w:t>）粤</w:t>
      </w:r>
      <w:r>
        <w:rPr>
          <w:rFonts w:hint="eastAsia"/>
          <w:sz w:val="30"/>
          <w:szCs w:val="30"/>
        </w:rPr>
        <w:t>04</w:t>
      </w:r>
      <w:r>
        <w:rPr>
          <w:rFonts w:hint="eastAsia"/>
          <w:sz w:val="30"/>
          <w:szCs w:val="30"/>
        </w:rPr>
        <w:t>民终</w:t>
      </w:r>
      <w:r>
        <w:rPr>
          <w:rFonts w:hint="eastAsia"/>
          <w:sz w:val="30"/>
          <w:szCs w:val="30"/>
        </w:rPr>
        <w:t>2261</w:t>
      </w:r>
      <w:r>
        <w:rPr>
          <w:rFonts w:hint="eastAsia"/>
          <w:sz w:val="30"/>
          <w:szCs w:val="30"/>
        </w:rPr>
        <w:t>号民事判决，向本院申请再审。本院依法组成合议庭进行了审查，现已审查终结。</w:t>
      </w:r>
    </w:p>
    <w:p w:rsidR="00000000" w:rsidRDefault="00940543">
      <w:pPr>
        <w:spacing w:line="500" w:lineRule="atLeast"/>
        <w:ind w:firstLine="600"/>
        <w:divId w:val="260068755"/>
        <w:rPr>
          <w:rFonts w:hint="eastAsia"/>
          <w:sz w:val="30"/>
          <w:szCs w:val="30"/>
        </w:rPr>
      </w:pPr>
      <w:r>
        <w:rPr>
          <w:rFonts w:hint="eastAsia"/>
          <w:sz w:val="30"/>
          <w:szCs w:val="30"/>
        </w:rPr>
        <w:t>曾万华申请再审称，</w:t>
      </w:r>
      <w:r>
        <w:rPr>
          <w:rFonts w:hint="eastAsia"/>
          <w:sz w:val="30"/>
          <w:szCs w:val="30"/>
        </w:rPr>
        <w:t>1.</w:t>
      </w:r>
      <w:r>
        <w:rPr>
          <w:rFonts w:hint="eastAsia"/>
          <w:sz w:val="30"/>
          <w:szCs w:val="30"/>
        </w:rPr>
        <w:t>二审法院要求珠海市慢性病防治中心补交关于</w:t>
      </w:r>
      <w:r>
        <w:rPr>
          <w:rFonts w:hint="eastAsia"/>
          <w:sz w:val="30"/>
          <w:szCs w:val="30"/>
        </w:rPr>
        <w:t>B</w:t>
      </w:r>
      <w:r>
        <w:rPr>
          <w:rFonts w:hint="eastAsia"/>
          <w:sz w:val="30"/>
          <w:szCs w:val="30"/>
        </w:rPr>
        <w:t>超区别的说明等</w:t>
      </w:r>
      <w:r>
        <w:rPr>
          <w:rFonts w:hint="eastAsia"/>
          <w:sz w:val="30"/>
          <w:szCs w:val="30"/>
        </w:rPr>
        <w:t>7</w:t>
      </w:r>
      <w:r>
        <w:rPr>
          <w:rFonts w:hint="eastAsia"/>
          <w:sz w:val="30"/>
          <w:szCs w:val="30"/>
        </w:rPr>
        <w:t>方面的证据，珠海市慢性病防治中心在补充资料中说“黑白</w:t>
      </w:r>
      <w:r>
        <w:rPr>
          <w:rFonts w:hint="eastAsia"/>
          <w:sz w:val="30"/>
          <w:szCs w:val="30"/>
        </w:rPr>
        <w:t>B</w:t>
      </w:r>
      <w:r>
        <w:rPr>
          <w:rFonts w:hint="eastAsia"/>
          <w:sz w:val="30"/>
          <w:szCs w:val="30"/>
        </w:rPr>
        <w:t>超常用于普通检查，如有无胸水，腹水及胆结石、膀胱结石、肾结石、前列腺炎、子宫肌瘤等病症”，偏偏漏了关于肝脏方面的检查内容。医生或稍有医学常识的人都知道</w:t>
      </w:r>
      <w:r>
        <w:rPr>
          <w:rFonts w:hint="eastAsia"/>
          <w:sz w:val="30"/>
          <w:szCs w:val="30"/>
        </w:rPr>
        <w:t>B</w:t>
      </w:r>
      <w:r>
        <w:rPr>
          <w:rFonts w:hint="eastAsia"/>
          <w:sz w:val="30"/>
          <w:szCs w:val="30"/>
        </w:rPr>
        <w:t>超是最适合检查肝脏方面的问题，且珠海市慢性病防治中心给曾万华所在公司麒麟啤酒（珠海）有限公司员工体检专门有这一项。故珠海市慢性病防治中心提交的证据不可信。</w:t>
      </w:r>
      <w:r>
        <w:rPr>
          <w:rFonts w:hint="eastAsia"/>
          <w:sz w:val="30"/>
          <w:szCs w:val="30"/>
        </w:rPr>
        <w:t>2.</w:t>
      </w:r>
      <w:r>
        <w:rPr>
          <w:rFonts w:hint="eastAsia"/>
          <w:sz w:val="30"/>
          <w:szCs w:val="30"/>
        </w:rPr>
        <w:t>关于申请医疗损害鉴定的问题。曾万华每月医药费用支出上万元，承担不起高</w:t>
      </w:r>
      <w:r>
        <w:rPr>
          <w:rFonts w:hint="eastAsia"/>
          <w:sz w:val="30"/>
          <w:szCs w:val="30"/>
        </w:rPr>
        <w:t>昂的鉴定费用。本案案情简单，曾万华提交的证言、证据足以认定对方存在过错，因果关系显而易见，且不是所有的医疗纠纷都要做医疗损害鉴定的。</w:t>
      </w:r>
      <w:r>
        <w:rPr>
          <w:rFonts w:hint="eastAsia"/>
          <w:sz w:val="30"/>
          <w:szCs w:val="30"/>
        </w:rPr>
        <w:t>3.</w:t>
      </w:r>
      <w:r>
        <w:rPr>
          <w:rFonts w:hint="eastAsia"/>
          <w:sz w:val="30"/>
          <w:szCs w:val="30"/>
        </w:rPr>
        <w:t>本案具备医疗损害侵权构成的</w:t>
      </w:r>
      <w:r>
        <w:rPr>
          <w:rFonts w:hint="eastAsia"/>
          <w:sz w:val="30"/>
          <w:szCs w:val="30"/>
        </w:rPr>
        <w:t>4</w:t>
      </w:r>
      <w:r>
        <w:rPr>
          <w:rFonts w:hint="eastAsia"/>
          <w:sz w:val="30"/>
          <w:szCs w:val="30"/>
        </w:rPr>
        <w:t>个要件。××</w:t>
      </w:r>
      <w:r>
        <w:rPr>
          <w:rFonts w:hint="eastAsia"/>
          <w:sz w:val="30"/>
          <w:szCs w:val="30"/>
        </w:rPr>
        <w:t>-</w:t>
      </w:r>
      <w:r>
        <w:rPr>
          <w:rFonts w:hint="eastAsia"/>
          <w:sz w:val="30"/>
          <w:szCs w:val="30"/>
        </w:rPr>
        <w:t>肝硬化</w:t>
      </w:r>
      <w:r>
        <w:rPr>
          <w:rFonts w:hint="eastAsia"/>
          <w:sz w:val="30"/>
          <w:szCs w:val="30"/>
        </w:rPr>
        <w:t>-</w:t>
      </w:r>
      <w:r>
        <w:rPr>
          <w:rFonts w:hint="eastAsia"/>
          <w:sz w:val="30"/>
          <w:szCs w:val="30"/>
        </w:rPr>
        <w:t>肝癌需要经过多年的演变，不会</w:t>
      </w:r>
      <w:r>
        <w:rPr>
          <w:rFonts w:hint="eastAsia"/>
          <w:sz w:val="30"/>
          <w:szCs w:val="30"/>
        </w:rPr>
        <w:t>2</w:t>
      </w:r>
      <w:r>
        <w:rPr>
          <w:rFonts w:hint="eastAsia"/>
          <w:sz w:val="30"/>
          <w:szCs w:val="30"/>
        </w:rPr>
        <w:t>、</w:t>
      </w:r>
      <w:r>
        <w:rPr>
          <w:rFonts w:hint="eastAsia"/>
          <w:sz w:val="30"/>
          <w:szCs w:val="30"/>
        </w:rPr>
        <w:t>3</w:t>
      </w:r>
      <w:r>
        <w:rPr>
          <w:rFonts w:hint="eastAsia"/>
          <w:sz w:val="30"/>
          <w:szCs w:val="30"/>
        </w:rPr>
        <w:t>个月就长出</w:t>
      </w:r>
      <w:r>
        <w:rPr>
          <w:rFonts w:hint="eastAsia"/>
          <w:sz w:val="30"/>
          <w:szCs w:val="30"/>
        </w:rPr>
        <w:t>7</w:t>
      </w:r>
      <w:r>
        <w:rPr>
          <w:rFonts w:hint="eastAsia"/>
          <w:sz w:val="30"/>
          <w:szCs w:val="30"/>
        </w:rPr>
        <w:t>厘米的肿瘤。黑白</w:t>
      </w:r>
      <w:r>
        <w:rPr>
          <w:rFonts w:hint="eastAsia"/>
          <w:sz w:val="30"/>
          <w:szCs w:val="30"/>
        </w:rPr>
        <w:t>B</w:t>
      </w:r>
      <w:r>
        <w:rPr>
          <w:rFonts w:hint="eastAsia"/>
          <w:sz w:val="30"/>
          <w:szCs w:val="30"/>
        </w:rPr>
        <w:lastRenderedPageBreak/>
        <w:t>超能检查出正常肝脏和肝硬化的区别，珠海市慢性病防治中心的健康体检时</w:t>
      </w:r>
      <w:r>
        <w:rPr>
          <w:rFonts w:hint="eastAsia"/>
          <w:sz w:val="30"/>
          <w:szCs w:val="30"/>
        </w:rPr>
        <w:t>B</w:t>
      </w:r>
      <w:r>
        <w:rPr>
          <w:rFonts w:hint="eastAsia"/>
          <w:sz w:val="30"/>
          <w:szCs w:val="30"/>
        </w:rPr>
        <w:t>超本该发现的问题医生却未发现。曾万华平时没有感觉不舒服，所以特别在意</w:t>
      </w:r>
      <w:r>
        <w:rPr>
          <w:rFonts w:hint="eastAsia"/>
          <w:sz w:val="30"/>
          <w:szCs w:val="30"/>
        </w:rPr>
        <w:t>B</w:t>
      </w:r>
      <w:r>
        <w:rPr>
          <w:rFonts w:hint="eastAsia"/>
          <w:sz w:val="30"/>
          <w:szCs w:val="30"/>
        </w:rPr>
        <w:t>超的检查结果，每次看到结果“未见异常”就未再去专科门诊复查。珠海市慢性病防治中心出具错误的检查结果误导了曾万华，存在明显过错</w:t>
      </w:r>
      <w:r>
        <w:rPr>
          <w:rFonts w:hint="eastAsia"/>
          <w:sz w:val="30"/>
          <w:szCs w:val="30"/>
        </w:rPr>
        <w:t>，应承担相应的医疗损害侵权责任。</w:t>
      </w:r>
      <w:r>
        <w:rPr>
          <w:rFonts w:hint="eastAsia"/>
          <w:sz w:val="30"/>
          <w:szCs w:val="30"/>
        </w:rPr>
        <w:t>4.</w:t>
      </w:r>
      <w:r>
        <w:rPr>
          <w:rFonts w:hint="eastAsia"/>
          <w:sz w:val="30"/>
          <w:szCs w:val="30"/>
        </w:rPr>
        <w:t>二审判决适用《中华人民共和国侵权责任法》第一百七十条第一款第二项，属适用法律条款错误，本案应适用该法第六条、第十六条的规定。综上，请求撤销二审判决，依法再审本案并改判珠海市慢性病防治中心向曾万华支付各项赔偿费用共计</w:t>
      </w:r>
      <w:r>
        <w:rPr>
          <w:rFonts w:hint="eastAsia"/>
          <w:sz w:val="30"/>
          <w:szCs w:val="30"/>
        </w:rPr>
        <w:t>548132.07</w:t>
      </w:r>
      <w:r>
        <w:rPr>
          <w:rFonts w:hint="eastAsia"/>
          <w:sz w:val="30"/>
          <w:szCs w:val="30"/>
        </w:rPr>
        <w:t>元，一、二审诉讼费用由珠海市慢性病防治中心承担。</w:t>
      </w:r>
    </w:p>
    <w:p w:rsidR="00000000" w:rsidRDefault="00940543">
      <w:pPr>
        <w:spacing w:line="500" w:lineRule="atLeast"/>
        <w:ind w:firstLine="600"/>
        <w:divId w:val="133765713"/>
        <w:rPr>
          <w:rFonts w:hint="eastAsia"/>
          <w:sz w:val="30"/>
          <w:szCs w:val="30"/>
        </w:rPr>
      </w:pPr>
      <w:r>
        <w:rPr>
          <w:rFonts w:hint="eastAsia"/>
          <w:sz w:val="30"/>
          <w:szCs w:val="30"/>
        </w:rPr>
        <w:t>珠海市慢性病防治中心提交意见称，</w:t>
      </w:r>
      <w:r>
        <w:rPr>
          <w:rFonts w:hint="eastAsia"/>
          <w:sz w:val="30"/>
          <w:szCs w:val="30"/>
        </w:rPr>
        <w:t>1.</w:t>
      </w:r>
      <w:r>
        <w:rPr>
          <w:rFonts w:hint="eastAsia"/>
          <w:sz w:val="30"/>
          <w:szCs w:val="30"/>
        </w:rPr>
        <w:t>珠海市慢性病防治中心在整个体检过程均严格按照医疗规范进行操作，认真履行了检查和报告工作，符合诊疗规范，已尽到必要的建议和告知义务。</w:t>
      </w:r>
      <w:r>
        <w:rPr>
          <w:rFonts w:hint="eastAsia"/>
          <w:sz w:val="30"/>
          <w:szCs w:val="30"/>
        </w:rPr>
        <w:t>2.</w:t>
      </w:r>
      <w:r>
        <w:rPr>
          <w:rFonts w:hint="eastAsia"/>
          <w:sz w:val="30"/>
          <w:szCs w:val="30"/>
        </w:rPr>
        <w:t>珠海市慢性病防治中心对曾</w:t>
      </w:r>
      <w:r>
        <w:rPr>
          <w:rFonts w:hint="eastAsia"/>
          <w:sz w:val="30"/>
          <w:szCs w:val="30"/>
        </w:rPr>
        <w:t>万华的体检是根据与麒麟啤酒（珠海）有限公司签订的协议进行的，该公司对员工的体检为一般性体检，体检过程中所使用的便携式黑白超声诊断仪的局限性是设备本身固有的，责任不在珠海市慢性病防治中心。</w:t>
      </w:r>
      <w:r>
        <w:rPr>
          <w:rFonts w:hint="eastAsia"/>
          <w:sz w:val="30"/>
          <w:szCs w:val="30"/>
        </w:rPr>
        <w:t>3.</w:t>
      </w:r>
      <w:r>
        <w:rPr>
          <w:rFonts w:hint="eastAsia"/>
          <w:sz w:val="30"/>
          <w:szCs w:val="30"/>
        </w:rPr>
        <w:t>曾万华的病情发展属于其自身的原发疾病发展的结果，并非珠海市慢性病防治中心的医疗行为造成的，曾万华并未提供证据证明该医疗行为构成侵权，也未提供证据证明该医疗行为与其病情发展至肝癌之间具有因果关系，故珠海市慢性病防治中心不应承担任何赔偿责任。请求驳回曾万华的再审申请。</w:t>
      </w:r>
    </w:p>
    <w:p w:rsidR="00000000" w:rsidRDefault="00940543">
      <w:pPr>
        <w:spacing w:line="500" w:lineRule="atLeast"/>
        <w:ind w:firstLine="600"/>
        <w:divId w:val="749080022"/>
        <w:rPr>
          <w:rFonts w:hint="eastAsia"/>
          <w:sz w:val="30"/>
          <w:szCs w:val="30"/>
        </w:rPr>
      </w:pPr>
      <w:r>
        <w:rPr>
          <w:rFonts w:hint="eastAsia"/>
          <w:sz w:val="30"/>
          <w:szCs w:val="30"/>
        </w:rPr>
        <w:t>本院经审查认为，本案系民事再审审查案件。根据《最高人民法</w:t>
      </w:r>
      <w:r>
        <w:rPr>
          <w:rFonts w:hint="eastAsia"/>
          <w:sz w:val="30"/>
          <w:szCs w:val="30"/>
        </w:rPr>
        <w:t>院关于适</w:t>
      </w:r>
      <w:r>
        <w:rPr>
          <w:rFonts w:hint="eastAsia"/>
          <w:sz w:val="30"/>
          <w:szCs w:val="30"/>
        </w:rPr>
        <w:t>用</w:t>
      </w:r>
      <w:r>
        <w:rPr>
          <w:rFonts w:hint="eastAsia"/>
          <w:sz w:val="30"/>
          <w:szCs w:val="30"/>
        </w:rPr>
        <w:t>的解释》第三百八十六条的规定，本案应对再审申请人曾万华主张的再审事由进行审查。</w:t>
      </w:r>
    </w:p>
    <w:p w:rsidR="00000000" w:rsidRDefault="00940543">
      <w:pPr>
        <w:spacing w:line="500" w:lineRule="atLeast"/>
        <w:ind w:firstLine="600"/>
        <w:divId w:val="1515916753"/>
        <w:rPr>
          <w:rFonts w:hint="eastAsia"/>
          <w:sz w:val="30"/>
          <w:szCs w:val="30"/>
        </w:rPr>
      </w:pPr>
      <w:r>
        <w:rPr>
          <w:rFonts w:hint="eastAsia"/>
          <w:sz w:val="30"/>
          <w:szCs w:val="30"/>
        </w:rPr>
        <w:lastRenderedPageBreak/>
        <w:t>关于珠海市慢性病防治中心应否对曾万华的案涉损害承担侵权责任的问题。首先，根据《最高人民法院关于适</w:t>
      </w:r>
      <w:r>
        <w:rPr>
          <w:rFonts w:hint="eastAsia"/>
          <w:sz w:val="30"/>
          <w:szCs w:val="30"/>
        </w:rPr>
        <w:t>用</w:t>
      </w:r>
      <w:r>
        <w:rPr>
          <w:rFonts w:hint="eastAsia"/>
          <w:sz w:val="30"/>
          <w:szCs w:val="30"/>
        </w:rPr>
        <w:t>的解释》第九十条规定：“当事人对自己提出的诉讼请求所依据的事实或者反驳对方诉讼请求所依据的事实，应当提供证据加以证明，但法律另有规定的除外。在作出判决前，当事人未能提供证据或者证据不足以证明其事实主张的，由负有举证证明责任的当事人承担不利的后果。”曾万华申请再审主张珠海市慢性病防治中心作出错误的检查结论，导致其病情被延误，</w:t>
      </w:r>
      <w:r>
        <w:rPr>
          <w:rFonts w:hint="eastAsia"/>
          <w:sz w:val="30"/>
          <w:szCs w:val="30"/>
        </w:rPr>
        <w:t>应承担相应的侵权责任，其有责任提供证据加以证明。但曾万华既不申请医疗损害鉴定，又未能提交证据证实珠海市慢性病防治中心存在医疗过错，也未举证证实慢性病防治中心的诊疗行为与其病情发展至肝癌之间存有因果关系。其次，珠海市慢性病防治中心在原审中提供了证明其体检设备质量合格、操作人员具有相关资质的证据，曾万华对此虽不予认可，但未能提供相反证据证明。黑白</w:t>
      </w:r>
      <w:r>
        <w:rPr>
          <w:rFonts w:hint="eastAsia"/>
          <w:sz w:val="30"/>
          <w:szCs w:val="30"/>
        </w:rPr>
        <w:t>B</w:t>
      </w:r>
      <w:r>
        <w:rPr>
          <w:rFonts w:hint="eastAsia"/>
          <w:sz w:val="30"/>
          <w:szCs w:val="30"/>
        </w:rPr>
        <w:t>超是曾万华所在公司为员工健康体检定制的检查项目，珠海市慢性病防治中心按照麒麟啤酒（珠海）有限公司为其员工选定的健康体检项目为曾万华进行体检后，在</w:t>
      </w:r>
      <w:r>
        <w:rPr>
          <w:rFonts w:hint="eastAsia"/>
          <w:sz w:val="30"/>
          <w:szCs w:val="30"/>
        </w:rPr>
        <w:t>2016</w:t>
      </w:r>
      <w:r>
        <w:rPr>
          <w:rFonts w:hint="eastAsia"/>
          <w:sz w:val="30"/>
          <w:szCs w:val="30"/>
        </w:rPr>
        <w:t>年、</w:t>
      </w:r>
      <w:r>
        <w:rPr>
          <w:rFonts w:hint="eastAsia"/>
          <w:sz w:val="30"/>
          <w:szCs w:val="30"/>
        </w:rPr>
        <w:t>2017</w:t>
      </w:r>
      <w:r>
        <w:rPr>
          <w:rFonts w:hint="eastAsia"/>
          <w:sz w:val="30"/>
          <w:szCs w:val="30"/>
        </w:rPr>
        <w:t>年</w:t>
      </w:r>
      <w:r>
        <w:rPr>
          <w:rFonts w:hint="eastAsia"/>
          <w:sz w:val="30"/>
          <w:szCs w:val="30"/>
        </w:rPr>
        <w:t>体检报告中均向曾万华提醒感染××病毒、谷丙转氨酶偏高的异常情况，并建议肝病专科和内科就诊、排除慢性××、脂肪肝等，对曾万华进行提示和告知。而曾万华自述其在两次体检后均未到肝病专科进行诊治。第三，案涉争议发生后，珠海市医学会根据珠海市卫生和计划生育局的委托，对案涉诊疗行为进行医疗事故技术鉴定。医疗事故技术鉴定书认定本医案不构成医疗事故，同时还指出，各种辅助检查对疾病的诊断都有一定的局限性，特别是黑白</w:t>
      </w:r>
      <w:r>
        <w:rPr>
          <w:rFonts w:hint="eastAsia"/>
          <w:sz w:val="30"/>
          <w:szCs w:val="30"/>
        </w:rPr>
        <w:t>B</w:t>
      </w:r>
      <w:r>
        <w:rPr>
          <w:rFonts w:hint="eastAsia"/>
          <w:sz w:val="30"/>
          <w:szCs w:val="30"/>
        </w:rPr>
        <w:t>超的敏感性和特异性不够，未能发现病灶在临床上也是存在的，患者长期慢性活动性××，未去医院正规诊治，间断饮酒及一</w:t>
      </w:r>
      <w:r>
        <w:rPr>
          <w:rFonts w:hint="eastAsia"/>
          <w:sz w:val="30"/>
          <w:szCs w:val="30"/>
        </w:rPr>
        <w:t>直坚持工作等因素造成肝病慢性化，进而出现肝硬化，在此基础上易合并肝癌为疾病自然发生发展的结果。综上，二审法院认定案涉诊疗行为不构成侵权行为，并无不当。曾万华的主张缺乏充分证据予以证实，本院不予采信。</w:t>
      </w:r>
    </w:p>
    <w:p w:rsidR="00000000" w:rsidRDefault="00940543">
      <w:pPr>
        <w:spacing w:line="500" w:lineRule="atLeast"/>
        <w:ind w:firstLine="600"/>
        <w:divId w:val="228855424"/>
        <w:rPr>
          <w:rFonts w:hint="eastAsia"/>
          <w:sz w:val="30"/>
          <w:szCs w:val="30"/>
        </w:rPr>
      </w:pPr>
      <w:r>
        <w:rPr>
          <w:rFonts w:hint="eastAsia"/>
          <w:sz w:val="30"/>
          <w:szCs w:val="30"/>
        </w:rPr>
        <w:t>关于本案的法律适用问题。曾万华主张珠海市慢性病防治中心的医疗行为构成侵权，应承担侵权责任，故二审判决适用《中华人民共和国侵权责任法》第五十四条审理本案并无不当，且该条款与该法第六条、第十六条并不矛盾。曾万华认为二审判决适用法律错误，缺乏依据，本院亦不采信。</w:t>
      </w:r>
    </w:p>
    <w:p w:rsidR="00000000" w:rsidRDefault="00940543">
      <w:pPr>
        <w:spacing w:line="500" w:lineRule="atLeast"/>
        <w:ind w:firstLine="600"/>
        <w:divId w:val="1564296474"/>
        <w:rPr>
          <w:rFonts w:hint="eastAsia"/>
          <w:sz w:val="30"/>
          <w:szCs w:val="30"/>
        </w:rPr>
      </w:pPr>
      <w:r>
        <w:rPr>
          <w:rFonts w:hint="eastAsia"/>
          <w:sz w:val="30"/>
          <w:szCs w:val="30"/>
        </w:rPr>
        <w:t>综上所述，曾万华的再审申请不符合《中华人民共和国民事诉</w:t>
      </w:r>
      <w:r>
        <w:rPr>
          <w:rFonts w:hint="eastAsia"/>
          <w:sz w:val="30"/>
          <w:szCs w:val="30"/>
        </w:rPr>
        <w:t>讼法》第二百条规定应当再审的情形，本院不予支持。依照《中华人民共和国民事诉讼法》第二百零四条第一款，《最高人民法院关于适用〈中华人民共和国民事诉讼法〉的解释》第三百九十五条第二款的规定，裁定如下：</w:t>
      </w:r>
    </w:p>
    <w:p w:rsidR="00000000" w:rsidRDefault="00940543">
      <w:pPr>
        <w:spacing w:line="500" w:lineRule="atLeast"/>
        <w:ind w:firstLine="600"/>
        <w:divId w:val="639460088"/>
        <w:rPr>
          <w:rFonts w:hint="eastAsia"/>
          <w:sz w:val="30"/>
          <w:szCs w:val="30"/>
        </w:rPr>
      </w:pPr>
      <w:r>
        <w:rPr>
          <w:rFonts w:hint="eastAsia"/>
          <w:sz w:val="30"/>
          <w:szCs w:val="30"/>
        </w:rPr>
        <w:t>驳回曾万华的再审申请。</w:t>
      </w:r>
    </w:p>
    <w:p w:rsidR="00000000" w:rsidRDefault="00940543">
      <w:pPr>
        <w:spacing w:line="500" w:lineRule="atLeast"/>
        <w:jc w:val="right"/>
        <w:divId w:val="1552883734"/>
        <w:rPr>
          <w:rFonts w:hint="eastAsia"/>
          <w:sz w:val="30"/>
          <w:szCs w:val="30"/>
        </w:rPr>
      </w:pPr>
      <w:r>
        <w:rPr>
          <w:rFonts w:hint="eastAsia"/>
          <w:sz w:val="30"/>
          <w:szCs w:val="30"/>
        </w:rPr>
        <w:t>审判长　　陈小丽</w:t>
      </w:r>
    </w:p>
    <w:p w:rsidR="00000000" w:rsidRDefault="00940543">
      <w:pPr>
        <w:spacing w:line="500" w:lineRule="atLeast"/>
        <w:jc w:val="right"/>
        <w:divId w:val="2045707840"/>
        <w:rPr>
          <w:rFonts w:hint="eastAsia"/>
          <w:sz w:val="30"/>
          <w:szCs w:val="30"/>
        </w:rPr>
      </w:pPr>
      <w:r>
        <w:rPr>
          <w:rFonts w:hint="eastAsia"/>
          <w:sz w:val="30"/>
          <w:szCs w:val="30"/>
        </w:rPr>
        <w:t>审判员　　郑丽容</w:t>
      </w:r>
    </w:p>
    <w:p w:rsidR="00000000" w:rsidRDefault="00940543">
      <w:pPr>
        <w:spacing w:line="500" w:lineRule="atLeast"/>
        <w:jc w:val="right"/>
        <w:divId w:val="1291671296"/>
        <w:rPr>
          <w:rFonts w:hint="eastAsia"/>
          <w:sz w:val="30"/>
          <w:szCs w:val="30"/>
        </w:rPr>
      </w:pPr>
      <w:r>
        <w:rPr>
          <w:rFonts w:hint="eastAsia"/>
          <w:sz w:val="30"/>
          <w:szCs w:val="30"/>
        </w:rPr>
        <w:t>审判员　　晏　鹏</w:t>
      </w:r>
    </w:p>
    <w:p w:rsidR="00000000" w:rsidRDefault="00940543">
      <w:pPr>
        <w:spacing w:line="500" w:lineRule="atLeast"/>
        <w:jc w:val="right"/>
        <w:divId w:val="1069231987"/>
        <w:rPr>
          <w:rFonts w:hint="eastAsia"/>
          <w:sz w:val="30"/>
          <w:szCs w:val="30"/>
        </w:rPr>
      </w:pPr>
      <w:r>
        <w:rPr>
          <w:rFonts w:hint="eastAsia"/>
          <w:sz w:val="30"/>
          <w:szCs w:val="30"/>
        </w:rPr>
        <w:t>二〇二〇年一月二十日</w:t>
      </w:r>
    </w:p>
    <w:p w:rsidR="00000000" w:rsidRDefault="00940543">
      <w:pPr>
        <w:spacing w:line="500" w:lineRule="atLeast"/>
        <w:ind w:firstLine="600"/>
        <w:divId w:val="1866168594"/>
        <w:rPr>
          <w:rFonts w:hint="eastAsia"/>
          <w:sz w:val="30"/>
          <w:szCs w:val="30"/>
        </w:rPr>
      </w:pPr>
      <w:r>
        <w:rPr>
          <w:rFonts w:hint="eastAsia"/>
          <w:sz w:val="30"/>
          <w:szCs w:val="30"/>
        </w:rPr>
        <w:t>法官助理陈培纯</w:t>
      </w:r>
    </w:p>
    <w:p w:rsidR="00000000" w:rsidRDefault="00940543">
      <w:pPr>
        <w:spacing w:line="500" w:lineRule="atLeast"/>
        <w:ind w:firstLine="600"/>
        <w:divId w:val="1432776991"/>
        <w:rPr>
          <w:rFonts w:hint="eastAsia"/>
          <w:sz w:val="30"/>
          <w:szCs w:val="30"/>
        </w:rPr>
      </w:pPr>
      <w:r>
        <w:rPr>
          <w:rFonts w:hint="eastAsia"/>
          <w:sz w:val="30"/>
          <w:szCs w:val="30"/>
        </w:rPr>
        <w:t>书记员吴钰兰</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0543" w:rsidRDefault="00940543" w:rsidP="00940543">
      <w:r>
        <w:separator/>
      </w:r>
    </w:p>
  </w:endnote>
  <w:endnote w:type="continuationSeparator" w:id="0">
    <w:p w:rsidR="00940543" w:rsidRDefault="00940543" w:rsidP="00940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0543" w:rsidRDefault="00940543" w:rsidP="00940543">
      <w:r>
        <w:separator/>
      </w:r>
    </w:p>
  </w:footnote>
  <w:footnote w:type="continuationSeparator" w:id="0">
    <w:p w:rsidR="00940543" w:rsidRDefault="00940543" w:rsidP="009405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40543"/>
    <w:rsid w:val="00940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94054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40543"/>
    <w:rPr>
      <w:rFonts w:ascii="宋体" w:eastAsia="宋体" w:hAnsi="宋体" w:cs="宋体"/>
      <w:sz w:val="18"/>
      <w:szCs w:val="18"/>
    </w:rPr>
  </w:style>
  <w:style w:type="paragraph" w:styleId="a6">
    <w:name w:val="footer"/>
    <w:basedOn w:val="a"/>
    <w:link w:val="a7"/>
    <w:uiPriority w:val="99"/>
    <w:unhideWhenUsed/>
    <w:rsid w:val="00940543"/>
    <w:pPr>
      <w:tabs>
        <w:tab w:val="center" w:pos="4153"/>
        <w:tab w:val="right" w:pos="8306"/>
      </w:tabs>
      <w:snapToGrid w:val="0"/>
    </w:pPr>
    <w:rPr>
      <w:sz w:val="18"/>
      <w:szCs w:val="18"/>
    </w:rPr>
  </w:style>
  <w:style w:type="character" w:customStyle="1" w:styleId="a7">
    <w:name w:val="页脚 字符"/>
    <w:basedOn w:val="a0"/>
    <w:link w:val="a6"/>
    <w:uiPriority w:val="99"/>
    <w:rsid w:val="0094054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65713">
      <w:marLeft w:val="0"/>
      <w:marRight w:val="0"/>
      <w:marTop w:val="10"/>
      <w:marBottom w:val="10"/>
      <w:divBdr>
        <w:top w:val="none" w:sz="0" w:space="0" w:color="auto"/>
        <w:left w:val="none" w:sz="0" w:space="0" w:color="auto"/>
        <w:bottom w:val="none" w:sz="0" w:space="0" w:color="auto"/>
        <w:right w:val="none" w:sz="0" w:space="0" w:color="auto"/>
      </w:divBdr>
    </w:div>
    <w:div w:id="201670598">
      <w:marLeft w:val="0"/>
      <w:marRight w:val="0"/>
      <w:marTop w:val="10"/>
      <w:marBottom w:val="10"/>
      <w:divBdr>
        <w:top w:val="none" w:sz="0" w:space="0" w:color="auto"/>
        <w:left w:val="none" w:sz="0" w:space="0" w:color="auto"/>
        <w:bottom w:val="none" w:sz="0" w:space="0" w:color="auto"/>
        <w:right w:val="none" w:sz="0" w:space="0" w:color="auto"/>
      </w:divBdr>
    </w:div>
    <w:div w:id="228855424">
      <w:marLeft w:val="0"/>
      <w:marRight w:val="0"/>
      <w:marTop w:val="10"/>
      <w:marBottom w:val="10"/>
      <w:divBdr>
        <w:top w:val="none" w:sz="0" w:space="0" w:color="auto"/>
        <w:left w:val="none" w:sz="0" w:space="0" w:color="auto"/>
        <w:bottom w:val="none" w:sz="0" w:space="0" w:color="auto"/>
        <w:right w:val="none" w:sz="0" w:space="0" w:color="auto"/>
      </w:divBdr>
    </w:div>
    <w:div w:id="260068755">
      <w:marLeft w:val="0"/>
      <w:marRight w:val="0"/>
      <w:marTop w:val="10"/>
      <w:marBottom w:val="10"/>
      <w:divBdr>
        <w:top w:val="none" w:sz="0" w:space="0" w:color="auto"/>
        <w:left w:val="none" w:sz="0" w:space="0" w:color="auto"/>
        <w:bottom w:val="none" w:sz="0" w:space="0" w:color="auto"/>
        <w:right w:val="none" w:sz="0" w:space="0" w:color="auto"/>
      </w:divBdr>
    </w:div>
    <w:div w:id="391736149">
      <w:marLeft w:val="0"/>
      <w:marRight w:val="0"/>
      <w:marTop w:val="10"/>
      <w:marBottom w:val="10"/>
      <w:divBdr>
        <w:top w:val="none" w:sz="0" w:space="0" w:color="auto"/>
        <w:left w:val="none" w:sz="0" w:space="0" w:color="auto"/>
        <w:bottom w:val="none" w:sz="0" w:space="0" w:color="auto"/>
        <w:right w:val="none" w:sz="0" w:space="0" w:color="auto"/>
      </w:divBdr>
    </w:div>
    <w:div w:id="639460088">
      <w:marLeft w:val="0"/>
      <w:marRight w:val="0"/>
      <w:marTop w:val="10"/>
      <w:marBottom w:val="10"/>
      <w:divBdr>
        <w:top w:val="none" w:sz="0" w:space="0" w:color="auto"/>
        <w:left w:val="none" w:sz="0" w:space="0" w:color="auto"/>
        <w:bottom w:val="none" w:sz="0" w:space="0" w:color="auto"/>
        <w:right w:val="none" w:sz="0" w:space="0" w:color="auto"/>
      </w:divBdr>
    </w:div>
    <w:div w:id="749080022">
      <w:marLeft w:val="0"/>
      <w:marRight w:val="0"/>
      <w:marTop w:val="10"/>
      <w:marBottom w:val="10"/>
      <w:divBdr>
        <w:top w:val="none" w:sz="0" w:space="0" w:color="auto"/>
        <w:left w:val="none" w:sz="0" w:space="0" w:color="auto"/>
        <w:bottom w:val="none" w:sz="0" w:space="0" w:color="auto"/>
        <w:right w:val="none" w:sz="0" w:space="0" w:color="auto"/>
      </w:divBdr>
    </w:div>
    <w:div w:id="825315681">
      <w:marLeft w:val="0"/>
      <w:marRight w:val="0"/>
      <w:marTop w:val="10"/>
      <w:marBottom w:val="10"/>
      <w:divBdr>
        <w:top w:val="none" w:sz="0" w:space="0" w:color="auto"/>
        <w:left w:val="none" w:sz="0" w:space="0" w:color="auto"/>
        <w:bottom w:val="none" w:sz="0" w:space="0" w:color="auto"/>
        <w:right w:val="none" w:sz="0" w:space="0" w:color="auto"/>
      </w:divBdr>
    </w:div>
    <w:div w:id="866913234">
      <w:marLeft w:val="0"/>
      <w:marRight w:val="0"/>
      <w:marTop w:val="10"/>
      <w:marBottom w:val="10"/>
      <w:divBdr>
        <w:top w:val="none" w:sz="0" w:space="0" w:color="auto"/>
        <w:left w:val="none" w:sz="0" w:space="0" w:color="auto"/>
        <w:bottom w:val="none" w:sz="0" w:space="0" w:color="auto"/>
        <w:right w:val="none" w:sz="0" w:space="0" w:color="auto"/>
      </w:divBdr>
    </w:div>
    <w:div w:id="901020445">
      <w:marLeft w:val="0"/>
      <w:marRight w:val="0"/>
      <w:marTop w:val="10"/>
      <w:marBottom w:val="10"/>
      <w:divBdr>
        <w:top w:val="none" w:sz="0" w:space="0" w:color="auto"/>
        <w:left w:val="none" w:sz="0" w:space="0" w:color="auto"/>
        <w:bottom w:val="none" w:sz="0" w:space="0" w:color="auto"/>
        <w:right w:val="none" w:sz="0" w:space="0" w:color="auto"/>
      </w:divBdr>
    </w:div>
    <w:div w:id="1069231987">
      <w:marLeft w:val="0"/>
      <w:marRight w:val="720"/>
      <w:marTop w:val="10"/>
      <w:marBottom w:val="10"/>
      <w:divBdr>
        <w:top w:val="none" w:sz="0" w:space="0" w:color="auto"/>
        <w:left w:val="none" w:sz="0" w:space="0" w:color="auto"/>
        <w:bottom w:val="none" w:sz="0" w:space="0" w:color="auto"/>
        <w:right w:val="none" w:sz="0" w:space="0" w:color="auto"/>
      </w:divBdr>
    </w:div>
    <w:div w:id="1235969886">
      <w:marLeft w:val="0"/>
      <w:marRight w:val="0"/>
      <w:marTop w:val="10"/>
      <w:marBottom w:val="10"/>
      <w:divBdr>
        <w:top w:val="none" w:sz="0" w:space="0" w:color="auto"/>
        <w:left w:val="none" w:sz="0" w:space="0" w:color="auto"/>
        <w:bottom w:val="none" w:sz="0" w:space="0" w:color="auto"/>
        <w:right w:val="none" w:sz="0" w:space="0" w:color="auto"/>
      </w:divBdr>
    </w:div>
    <w:div w:id="1291671296">
      <w:marLeft w:val="0"/>
      <w:marRight w:val="720"/>
      <w:marTop w:val="10"/>
      <w:marBottom w:val="10"/>
      <w:divBdr>
        <w:top w:val="none" w:sz="0" w:space="0" w:color="auto"/>
        <w:left w:val="none" w:sz="0" w:space="0" w:color="auto"/>
        <w:bottom w:val="none" w:sz="0" w:space="0" w:color="auto"/>
        <w:right w:val="none" w:sz="0" w:space="0" w:color="auto"/>
      </w:divBdr>
    </w:div>
    <w:div w:id="1432776991">
      <w:marLeft w:val="0"/>
      <w:marRight w:val="0"/>
      <w:marTop w:val="10"/>
      <w:marBottom w:val="10"/>
      <w:divBdr>
        <w:top w:val="none" w:sz="0" w:space="0" w:color="auto"/>
        <w:left w:val="none" w:sz="0" w:space="0" w:color="auto"/>
        <w:bottom w:val="none" w:sz="0" w:space="0" w:color="auto"/>
        <w:right w:val="none" w:sz="0" w:space="0" w:color="auto"/>
      </w:divBdr>
    </w:div>
    <w:div w:id="1515916753">
      <w:marLeft w:val="0"/>
      <w:marRight w:val="0"/>
      <w:marTop w:val="10"/>
      <w:marBottom w:val="10"/>
      <w:divBdr>
        <w:top w:val="none" w:sz="0" w:space="0" w:color="auto"/>
        <w:left w:val="none" w:sz="0" w:space="0" w:color="auto"/>
        <w:bottom w:val="none" w:sz="0" w:space="0" w:color="auto"/>
        <w:right w:val="none" w:sz="0" w:space="0" w:color="auto"/>
      </w:divBdr>
    </w:div>
    <w:div w:id="1552883734">
      <w:marLeft w:val="0"/>
      <w:marRight w:val="720"/>
      <w:marTop w:val="10"/>
      <w:marBottom w:val="10"/>
      <w:divBdr>
        <w:top w:val="none" w:sz="0" w:space="0" w:color="auto"/>
        <w:left w:val="none" w:sz="0" w:space="0" w:color="auto"/>
        <w:bottom w:val="none" w:sz="0" w:space="0" w:color="auto"/>
        <w:right w:val="none" w:sz="0" w:space="0" w:color="auto"/>
      </w:divBdr>
    </w:div>
    <w:div w:id="1564296474">
      <w:marLeft w:val="0"/>
      <w:marRight w:val="0"/>
      <w:marTop w:val="10"/>
      <w:marBottom w:val="10"/>
      <w:divBdr>
        <w:top w:val="none" w:sz="0" w:space="0" w:color="auto"/>
        <w:left w:val="none" w:sz="0" w:space="0" w:color="auto"/>
        <w:bottom w:val="none" w:sz="0" w:space="0" w:color="auto"/>
        <w:right w:val="none" w:sz="0" w:space="0" w:color="auto"/>
      </w:divBdr>
    </w:div>
    <w:div w:id="1866168594">
      <w:marLeft w:val="0"/>
      <w:marRight w:val="0"/>
      <w:marTop w:val="10"/>
      <w:marBottom w:val="10"/>
      <w:divBdr>
        <w:top w:val="none" w:sz="0" w:space="0" w:color="auto"/>
        <w:left w:val="none" w:sz="0" w:space="0" w:color="auto"/>
        <w:bottom w:val="none" w:sz="0" w:space="0" w:color="auto"/>
        <w:right w:val="none" w:sz="0" w:space="0" w:color="auto"/>
      </w:divBdr>
    </w:div>
    <w:div w:id="1904631848">
      <w:marLeft w:val="0"/>
      <w:marRight w:val="0"/>
      <w:marTop w:val="10"/>
      <w:marBottom w:val="10"/>
      <w:divBdr>
        <w:top w:val="none" w:sz="0" w:space="0" w:color="auto"/>
        <w:left w:val="none" w:sz="0" w:space="0" w:color="auto"/>
        <w:bottom w:val="none" w:sz="0" w:space="0" w:color="auto"/>
        <w:right w:val="none" w:sz="0" w:space="0" w:color="auto"/>
      </w:divBdr>
    </w:div>
    <w:div w:id="2045707840">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2023-04-10T06:57:00Z</dcterms:created>
  <dcterms:modified xsi:type="dcterms:W3CDTF">2023-04-10T06:57:00Z</dcterms:modified>
</cp:coreProperties>
</file>