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F7049">
      <w:pPr>
        <w:spacing w:line="500" w:lineRule="atLeast"/>
        <w:jc w:val="center"/>
        <w:divId w:val="2120369818"/>
        <w:rPr>
          <w:rFonts w:ascii="黑体" w:eastAsia="黑体" w:hAnsi="黑体"/>
          <w:sz w:val="36"/>
          <w:szCs w:val="36"/>
        </w:rPr>
      </w:pPr>
      <w:bookmarkStart w:id="0" w:name="_GoBack"/>
      <w:bookmarkEnd w:id="0"/>
      <w:r>
        <w:rPr>
          <w:rFonts w:ascii="黑体" w:eastAsia="黑体" w:hAnsi="黑体" w:hint="eastAsia"/>
          <w:sz w:val="36"/>
          <w:szCs w:val="36"/>
        </w:rPr>
        <w:t>陕西省高级人民法院</w:t>
      </w:r>
    </w:p>
    <w:p w:rsidR="00000000" w:rsidRDefault="005F7049">
      <w:pPr>
        <w:spacing w:line="500" w:lineRule="atLeast"/>
        <w:jc w:val="center"/>
        <w:divId w:val="22330287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F7049">
      <w:pPr>
        <w:spacing w:line="500" w:lineRule="atLeast"/>
        <w:jc w:val="right"/>
        <w:divId w:val="1448887701"/>
        <w:rPr>
          <w:rFonts w:hint="eastAsia"/>
          <w:sz w:val="30"/>
          <w:szCs w:val="30"/>
        </w:rPr>
      </w:pPr>
      <w:r>
        <w:rPr>
          <w:rFonts w:hint="eastAsia"/>
          <w:sz w:val="30"/>
          <w:szCs w:val="30"/>
        </w:rPr>
        <w:t>（</w:t>
      </w:r>
      <w:r>
        <w:rPr>
          <w:rFonts w:hint="eastAsia"/>
          <w:sz w:val="30"/>
          <w:szCs w:val="30"/>
        </w:rPr>
        <w:t>2021</w:t>
      </w:r>
      <w:r>
        <w:rPr>
          <w:rFonts w:hint="eastAsia"/>
          <w:sz w:val="30"/>
          <w:szCs w:val="30"/>
        </w:rPr>
        <w:t>）陕民申</w:t>
      </w:r>
      <w:r>
        <w:rPr>
          <w:rFonts w:hint="eastAsia"/>
          <w:sz w:val="30"/>
          <w:szCs w:val="30"/>
        </w:rPr>
        <w:t>971</w:t>
      </w:r>
      <w:r>
        <w:rPr>
          <w:rFonts w:hint="eastAsia"/>
          <w:sz w:val="30"/>
          <w:szCs w:val="30"/>
        </w:rPr>
        <w:t>号</w:t>
      </w:r>
    </w:p>
    <w:p w:rsidR="00000000" w:rsidRDefault="005F7049">
      <w:pPr>
        <w:spacing w:line="500" w:lineRule="atLeast"/>
        <w:ind w:firstLine="600"/>
        <w:divId w:val="306595347"/>
        <w:rPr>
          <w:rFonts w:hint="eastAsia"/>
          <w:sz w:val="30"/>
          <w:szCs w:val="30"/>
        </w:rPr>
      </w:pPr>
      <w:r>
        <w:rPr>
          <w:rFonts w:hint="eastAsia"/>
          <w:sz w:val="30"/>
          <w:szCs w:val="30"/>
        </w:rPr>
        <w:t>再审申请人（一审原告、二审上诉人</w:t>
      </w:r>
      <w:r>
        <w:rPr>
          <w:rFonts w:hint="eastAsia"/>
          <w:sz w:val="30"/>
          <w:szCs w:val="30"/>
        </w:rPr>
        <w:t>):</w:t>
      </w:r>
      <w:r>
        <w:rPr>
          <w:rFonts w:hint="eastAsia"/>
          <w:sz w:val="30"/>
          <w:szCs w:val="30"/>
        </w:rPr>
        <w:t>李喜翠。</w:t>
      </w:r>
    </w:p>
    <w:p w:rsidR="00000000" w:rsidRDefault="005F7049">
      <w:pPr>
        <w:spacing w:line="500" w:lineRule="atLeast"/>
        <w:ind w:firstLine="600"/>
        <w:divId w:val="1451047480"/>
        <w:rPr>
          <w:rFonts w:hint="eastAsia"/>
          <w:sz w:val="30"/>
          <w:szCs w:val="30"/>
        </w:rPr>
      </w:pPr>
      <w:r>
        <w:rPr>
          <w:rFonts w:hint="eastAsia"/>
          <w:sz w:val="30"/>
          <w:szCs w:val="30"/>
        </w:rPr>
        <w:t>再审申请人（一审原告、二审上诉人</w:t>
      </w:r>
      <w:r>
        <w:rPr>
          <w:rFonts w:hint="eastAsia"/>
          <w:sz w:val="30"/>
          <w:szCs w:val="30"/>
        </w:rPr>
        <w:t>)</w:t>
      </w:r>
      <w:r>
        <w:rPr>
          <w:rFonts w:hint="eastAsia"/>
          <w:sz w:val="30"/>
          <w:szCs w:val="30"/>
        </w:rPr>
        <w:t>：刘登宏（曾用名刘灯红）。</w:t>
      </w:r>
    </w:p>
    <w:p w:rsidR="00000000" w:rsidRDefault="005F7049">
      <w:pPr>
        <w:spacing w:line="500" w:lineRule="atLeast"/>
        <w:ind w:firstLine="600"/>
        <w:divId w:val="266281653"/>
        <w:rPr>
          <w:rFonts w:hint="eastAsia"/>
          <w:sz w:val="30"/>
          <w:szCs w:val="30"/>
        </w:rPr>
      </w:pPr>
      <w:r>
        <w:rPr>
          <w:rFonts w:hint="eastAsia"/>
          <w:sz w:val="30"/>
          <w:szCs w:val="30"/>
        </w:rPr>
        <w:t>再审申请人（一审原告、二审上诉人</w:t>
      </w:r>
      <w:r>
        <w:rPr>
          <w:rFonts w:hint="eastAsia"/>
          <w:sz w:val="30"/>
          <w:szCs w:val="30"/>
        </w:rPr>
        <w:t>)</w:t>
      </w:r>
      <w:r>
        <w:rPr>
          <w:rFonts w:hint="eastAsia"/>
          <w:sz w:val="30"/>
          <w:szCs w:val="30"/>
        </w:rPr>
        <w:t>：刘小红。</w:t>
      </w:r>
    </w:p>
    <w:p w:rsidR="00000000" w:rsidRDefault="005F7049">
      <w:pPr>
        <w:spacing w:line="500" w:lineRule="atLeast"/>
        <w:ind w:firstLine="600"/>
        <w:divId w:val="270166022"/>
        <w:rPr>
          <w:rFonts w:hint="eastAsia"/>
          <w:sz w:val="30"/>
          <w:szCs w:val="30"/>
        </w:rPr>
      </w:pPr>
      <w:r>
        <w:rPr>
          <w:rFonts w:hint="eastAsia"/>
          <w:sz w:val="30"/>
          <w:szCs w:val="30"/>
        </w:rPr>
        <w:t>再审申请人（一审原告、二审上诉人</w:t>
      </w:r>
      <w:r>
        <w:rPr>
          <w:rFonts w:hint="eastAsia"/>
          <w:sz w:val="30"/>
          <w:szCs w:val="30"/>
        </w:rPr>
        <w:t>)</w:t>
      </w:r>
      <w:r>
        <w:rPr>
          <w:rFonts w:hint="eastAsia"/>
          <w:sz w:val="30"/>
          <w:szCs w:val="30"/>
        </w:rPr>
        <w:t>：刘燕红。</w:t>
      </w:r>
    </w:p>
    <w:p w:rsidR="00000000" w:rsidRDefault="005F7049">
      <w:pPr>
        <w:spacing w:line="500" w:lineRule="atLeast"/>
        <w:ind w:firstLine="600"/>
        <w:divId w:val="1487673294"/>
        <w:rPr>
          <w:rFonts w:hint="eastAsia"/>
          <w:sz w:val="30"/>
          <w:szCs w:val="30"/>
        </w:rPr>
      </w:pPr>
      <w:r>
        <w:rPr>
          <w:rFonts w:hint="eastAsia"/>
          <w:sz w:val="30"/>
          <w:szCs w:val="30"/>
        </w:rPr>
        <w:t>被申请人（一审被告、二审被上诉人）：陈仓区拓石镇胡店卫生院。</w:t>
      </w:r>
    </w:p>
    <w:p w:rsidR="00000000" w:rsidRDefault="005F7049">
      <w:pPr>
        <w:spacing w:line="500" w:lineRule="atLeast"/>
        <w:ind w:firstLine="600"/>
        <w:divId w:val="1071385780"/>
        <w:rPr>
          <w:rFonts w:hint="eastAsia"/>
          <w:sz w:val="30"/>
          <w:szCs w:val="30"/>
        </w:rPr>
      </w:pPr>
      <w:r>
        <w:rPr>
          <w:rFonts w:hint="eastAsia"/>
          <w:sz w:val="30"/>
          <w:szCs w:val="30"/>
        </w:rPr>
        <w:t>法定代表人：王亚军，该院院长。</w:t>
      </w:r>
    </w:p>
    <w:p w:rsidR="00000000" w:rsidRDefault="005F7049">
      <w:pPr>
        <w:spacing w:line="500" w:lineRule="atLeast"/>
        <w:ind w:firstLine="600"/>
        <w:divId w:val="1804689528"/>
        <w:rPr>
          <w:rFonts w:hint="eastAsia"/>
          <w:sz w:val="30"/>
          <w:szCs w:val="30"/>
        </w:rPr>
      </w:pPr>
      <w:r>
        <w:rPr>
          <w:rFonts w:hint="eastAsia"/>
          <w:sz w:val="30"/>
          <w:szCs w:val="30"/>
        </w:rPr>
        <w:t>再审申请人李喜翠、刘登宏、刘燕红、刘小红与被申请人陈仓区拓石镇胡店卫生院医疗损害责任纠纷一案，不服陕西省宝鸡市中级人民法院（</w:t>
      </w:r>
      <w:r>
        <w:rPr>
          <w:rFonts w:hint="eastAsia"/>
          <w:sz w:val="30"/>
          <w:szCs w:val="30"/>
        </w:rPr>
        <w:t>2020</w:t>
      </w:r>
      <w:r>
        <w:rPr>
          <w:rFonts w:hint="eastAsia"/>
          <w:sz w:val="30"/>
          <w:szCs w:val="30"/>
        </w:rPr>
        <w:t>）陕</w:t>
      </w:r>
      <w:r>
        <w:rPr>
          <w:rFonts w:hint="eastAsia"/>
          <w:sz w:val="30"/>
          <w:szCs w:val="30"/>
        </w:rPr>
        <w:t>03</w:t>
      </w:r>
      <w:r>
        <w:rPr>
          <w:rFonts w:hint="eastAsia"/>
          <w:sz w:val="30"/>
          <w:szCs w:val="30"/>
        </w:rPr>
        <w:t>民初</w:t>
      </w:r>
      <w:r>
        <w:rPr>
          <w:rFonts w:hint="eastAsia"/>
          <w:sz w:val="30"/>
          <w:szCs w:val="30"/>
        </w:rPr>
        <w:t>1031</w:t>
      </w:r>
      <w:r>
        <w:rPr>
          <w:rFonts w:hint="eastAsia"/>
          <w:sz w:val="30"/>
          <w:szCs w:val="30"/>
        </w:rPr>
        <w:t>号民事判决，向本院申请再审，本院受理后依法组成合议庭进行了审理。本案现已审理终结。</w:t>
      </w:r>
    </w:p>
    <w:p w:rsidR="00000000" w:rsidRDefault="005F7049">
      <w:pPr>
        <w:spacing w:line="500" w:lineRule="atLeast"/>
        <w:ind w:firstLine="600"/>
        <w:divId w:val="285159269"/>
        <w:rPr>
          <w:rFonts w:hint="eastAsia"/>
          <w:sz w:val="30"/>
          <w:szCs w:val="30"/>
        </w:rPr>
      </w:pPr>
      <w:r>
        <w:rPr>
          <w:rFonts w:hint="eastAsia"/>
          <w:sz w:val="30"/>
          <w:szCs w:val="30"/>
        </w:rPr>
        <w:t>李喜翠、刘登宏、刘燕红、刘小红申请再审请求：（一）依法进行再审并撤销一、二审判决，予以改判；（二）判令被申请人承担一、二审诉讼费。事实和理由：（一）申请人向一审法院提出医疗事故技术鉴定，但鉴定检材未经法庭和双方质证即送至鉴定机构，程序严重违法，且被申请人未向法庭提交患者在其处</w:t>
      </w:r>
      <w:r>
        <w:rPr>
          <w:rFonts w:hint="eastAsia"/>
          <w:sz w:val="30"/>
          <w:szCs w:val="30"/>
        </w:rPr>
        <w:t>治疗的完整病案材料；（二）被申请人医护人员在治疗过程中随意离开，存在严重责任；（三）被申请人的工作人员将自己的患者擅自委托给同事管理，治疗结束后未询问病情，未尽到应尽义务；（四）被申请人采取治疗措施不当，延误治疗时机后也未采取相关的治疗措施，丧失了最佳救治时</w:t>
      </w:r>
      <w:r>
        <w:rPr>
          <w:rFonts w:hint="eastAsia"/>
          <w:sz w:val="30"/>
          <w:szCs w:val="30"/>
        </w:rPr>
        <w:lastRenderedPageBreak/>
        <w:t>机；（五）被申请人未规建立规范的门诊病历，违反《医疗机构病历管理规定》，应承担相应责任。</w:t>
      </w:r>
    </w:p>
    <w:p w:rsidR="00000000" w:rsidRDefault="005F7049">
      <w:pPr>
        <w:spacing w:line="500" w:lineRule="atLeast"/>
        <w:ind w:firstLine="600"/>
        <w:divId w:val="1310673317"/>
        <w:rPr>
          <w:rFonts w:hint="eastAsia"/>
          <w:sz w:val="30"/>
          <w:szCs w:val="30"/>
        </w:rPr>
      </w:pPr>
      <w:r>
        <w:rPr>
          <w:rFonts w:hint="eastAsia"/>
          <w:sz w:val="30"/>
          <w:szCs w:val="30"/>
        </w:rPr>
        <w:t>本院经审查认为，本案争议的焦点是：被申请人陈仓区拓石镇胡店卫生院在对患者刘喜代的诊疗过程中是否存在过错，诊疗行为与刘喜代死亡之间是否存在因果关系。依据《中华人民共和</w:t>
      </w:r>
      <w:r>
        <w:rPr>
          <w:rFonts w:hint="eastAsia"/>
          <w:sz w:val="30"/>
          <w:szCs w:val="30"/>
        </w:rPr>
        <w:t>国侵权责任法》第五十四条规定：患者在治疗活动中受到损害，医疗机构及其医务人员有过错的，由医疗机构承担赔偿责任。申请人应对医疗机构及其医务人员在诊疗中存在过错承担证明责任。依据《中华人民共和国侵权责任法》第五十八条规定：患者有损害，因下列情形之一的，推定医疗机构有过错：（一）违反法律、行政法规、规章以及其他有关诊疗规范的规定；（二）隐匿或者拒绝提供与纠纷有关的病例资料；（三）伪造、篡改或者销毁病例资料。本案中申请人申请医疗事故鉴定，宝鸡中院委托宝鸡市医学会医疗事故技术鉴定办公室进行鉴定，结论为：院方门诊处方用</w:t>
      </w:r>
      <w:r>
        <w:rPr>
          <w:rFonts w:hint="eastAsia"/>
          <w:sz w:val="30"/>
          <w:szCs w:val="30"/>
        </w:rPr>
        <w:t>药与诊断相符，该处方无配伍禁忌，院方治疗行为与患者死亡之间无直接因果关系，本病例不构成医疗事故。被申请人也不存在《中华人民共和国侵权责任法》第五十八条规定的情形，申请人亦不能提供其他证据证明被申请人对患者的诊疗有过错，应认定被申请人在其现有的医疗条件下，对患者的诊疗行为没有过错。患者死亡后未进行尸体解剖检验，有关专门机构无法对被申请人的诊疗行为与患者死亡之间的因果关系进行评价。申请人称患者死亡是被申请人的诊疗行为造成不予支持。综上，原审认定事实清楚，适用法律正确，应予维持，申请人的再审理由不能成立，应予驳回</w:t>
      </w:r>
      <w:r>
        <w:rPr>
          <w:rFonts w:hint="eastAsia"/>
          <w:sz w:val="30"/>
          <w:szCs w:val="30"/>
        </w:rPr>
        <w:t>。</w:t>
      </w:r>
    </w:p>
    <w:p w:rsidR="00000000" w:rsidRDefault="005F7049">
      <w:pPr>
        <w:spacing w:line="500" w:lineRule="atLeast"/>
        <w:ind w:firstLine="600"/>
        <w:divId w:val="1314330061"/>
        <w:rPr>
          <w:rFonts w:hint="eastAsia"/>
          <w:sz w:val="30"/>
          <w:szCs w:val="30"/>
        </w:rPr>
      </w:pPr>
      <w:r>
        <w:rPr>
          <w:rFonts w:hint="eastAsia"/>
          <w:sz w:val="30"/>
          <w:szCs w:val="30"/>
        </w:rPr>
        <w:lastRenderedPageBreak/>
        <w:t>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5F7049">
      <w:pPr>
        <w:spacing w:line="500" w:lineRule="atLeast"/>
        <w:ind w:firstLine="600"/>
        <w:divId w:val="1977831396"/>
        <w:rPr>
          <w:rFonts w:hint="eastAsia"/>
          <w:sz w:val="30"/>
          <w:szCs w:val="30"/>
        </w:rPr>
      </w:pPr>
      <w:r>
        <w:rPr>
          <w:rFonts w:hint="eastAsia"/>
          <w:sz w:val="30"/>
          <w:szCs w:val="30"/>
        </w:rPr>
        <w:t>驳回李喜翠、刘登宏、刘燕红、刘小红的再审申请。</w:t>
      </w:r>
    </w:p>
    <w:p w:rsidR="00000000" w:rsidRDefault="005F7049">
      <w:pPr>
        <w:spacing w:line="500" w:lineRule="atLeast"/>
        <w:jc w:val="right"/>
        <w:divId w:val="193724872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崔　喜</w:t>
      </w:r>
    </w:p>
    <w:p w:rsidR="00000000" w:rsidRDefault="005F7049">
      <w:pPr>
        <w:spacing w:line="500" w:lineRule="atLeast"/>
        <w:jc w:val="right"/>
        <w:divId w:val="211289519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王小凤</w:t>
      </w:r>
    </w:p>
    <w:p w:rsidR="00000000" w:rsidRDefault="005F7049">
      <w:pPr>
        <w:spacing w:line="500" w:lineRule="atLeast"/>
        <w:jc w:val="right"/>
        <w:divId w:val="181706876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董倩倩</w:t>
      </w:r>
    </w:p>
    <w:p w:rsidR="00000000" w:rsidRDefault="005F7049">
      <w:pPr>
        <w:spacing w:line="500" w:lineRule="atLeast"/>
        <w:jc w:val="right"/>
        <w:divId w:val="1911308867"/>
        <w:rPr>
          <w:rFonts w:hint="eastAsia"/>
          <w:sz w:val="30"/>
          <w:szCs w:val="30"/>
        </w:rPr>
      </w:pPr>
      <w:r>
        <w:rPr>
          <w:rFonts w:hint="eastAsia"/>
          <w:sz w:val="30"/>
          <w:szCs w:val="30"/>
        </w:rPr>
        <w:t>二〇二一年三月十八日</w:t>
      </w:r>
    </w:p>
    <w:p w:rsidR="00000000" w:rsidRDefault="005F7049">
      <w:pPr>
        <w:spacing w:line="500" w:lineRule="atLeast"/>
        <w:jc w:val="right"/>
        <w:divId w:val="518929112"/>
        <w:rPr>
          <w:rFonts w:hint="eastAsia"/>
          <w:sz w:val="30"/>
          <w:szCs w:val="30"/>
        </w:rPr>
      </w:pPr>
      <w:r>
        <w:rPr>
          <w:rFonts w:hint="eastAsia"/>
          <w:sz w:val="30"/>
          <w:szCs w:val="30"/>
        </w:rPr>
        <w:t>法官助理　　邰建兴</w:t>
      </w:r>
    </w:p>
    <w:p w:rsidR="00000000" w:rsidRDefault="005F7049">
      <w:pPr>
        <w:spacing w:line="500" w:lineRule="atLeast"/>
        <w:jc w:val="right"/>
        <w:divId w:val="251478846"/>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孙　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049" w:rsidRDefault="005F7049" w:rsidP="005F7049">
      <w:r>
        <w:separator/>
      </w:r>
    </w:p>
  </w:endnote>
  <w:endnote w:type="continuationSeparator" w:id="0">
    <w:p w:rsidR="005F7049" w:rsidRDefault="005F7049" w:rsidP="005F7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049" w:rsidRDefault="005F7049" w:rsidP="005F7049">
      <w:r>
        <w:separator/>
      </w:r>
    </w:p>
  </w:footnote>
  <w:footnote w:type="continuationSeparator" w:id="0">
    <w:p w:rsidR="005F7049" w:rsidRDefault="005F7049" w:rsidP="005F70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F7049"/>
    <w:rsid w:val="005F7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5F704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F7049"/>
    <w:rPr>
      <w:rFonts w:ascii="宋体" w:eastAsia="宋体" w:hAnsi="宋体" w:cs="宋体"/>
      <w:sz w:val="18"/>
      <w:szCs w:val="18"/>
    </w:rPr>
  </w:style>
  <w:style w:type="paragraph" w:styleId="a6">
    <w:name w:val="footer"/>
    <w:basedOn w:val="a"/>
    <w:link w:val="a7"/>
    <w:uiPriority w:val="99"/>
    <w:unhideWhenUsed/>
    <w:rsid w:val="005F7049"/>
    <w:pPr>
      <w:tabs>
        <w:tab w:val="center" w:pos="4153"/>
        <w:tab w:val="right" w:pos="8306"/>
      </w:tabs>
      <w:snapToGrid w:val="0"/>
    </w:pPr>
    <w:rPr>
      <w:sz w:val="18"/>
      <w:szCs w:val="18"/>
    </w:rPr>
  </w:style>
  <w:style w:type="character" w:customStyle="1" w:styleId="a7">
    <w:name w:val="页脚 字符"/>
    <w:basedOn w:val="a0"/>
    <w:link w:val="a6"/>
    <w:uiPriority w:val="99"/>
    <w:rsid w:val="005F704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302874">
      <w:marLeft w:val="0"/>
      <w:marRight w:val="0"/>
      <w:marTop w:val="10"/>
      <w:marBottom w:val="10"/>
      <w:divBdr>
        <w:top w:val="none" w:sz="0" w:space="0" w:color="auto"/>
        <w:left w:val="none" w:sz="0" w:space="0" w:color="auto"/>
        <w:bottom w:val="none" w:sz="0" w:space="0" w:color="auto"/>
        <w:right w:val="none" w:sz="0" w:space="0" w:color="auto"/>
      </w:divBdr>
    </w:div>
    <w:div w:id="251478846">
      <w:marLeft w:val="0"/>
      <w:marRight w:val="720"/>
      <w:marTop w:val="10"/>
      <w:marBottom w:val="10"/>
      <w:divBdr>
        <w:top w:val="none" w:sz="0" w:space="0" w:color="auto"/>
        <w:left w:val="none" w:sz="0" w:space="0" w:color="auto"/>
        <w:bottom w:val="none" w:sz="0" w:space="0" w:color="auto"/>
        <w:right w:val="none" w:sz="0" w:space="0" w:color="auto"/>
      </w:divBdr>
    </w:div>
    <w:div w:id="266281653">
      <w:marLeft w:val="0"/>
      <w:marRight w:val="0"/>
      <w:marTop w:val="10"/>
      <w:marBottom w:val="10"/>
      <w:divBdr>
        <w:top w:val="none" w:sz="0" w:space="0" w:color="auto"/>
        <w:left w:val="none" w:sz="0" w:space="0" w:color="auto"/>
        <w:bottom w:val="none" w:sz="0" w:space="0" w:color="auto"/>
        <w:right w:val="none" w:sz="0" w:space="0" w:color="auto"/>
      </w:divBdr>
    </w:div>
    <w:div w:id="270166022">
      <w:marLeft w:val="0"/>
      <w:marRight w:val="0"/>
      <w:marTop w:val="10"/>
      <w:marBottom w:val="10"/>
      <w:divBdr>
        <w:top w:val="none" w:sz="0" w:space="0" w:color="auto"/>
        <w:left w:val="none" w:sz="0" w:space="0" w:color="auto"/>
        <w:bottom w:val="none" w:sz="0" w:space="0" w:color="auto"/>
        <w:right w:val="none" w:sz="0" w:space="0" w:color="auto"/>
      </w:divBdr>
    </w:div>
    <w:div w:id="285159269">
      <w:marLeft w:val="0"/>
      <w:marRight w:val="0"/>
      <w:marTop w:val="10"/>
      <w:marBottom w:val="10"/>
      <w:divBdr>
        <w:top w:val="none" w:sz="0" w:space="0" w:color="auto"/>
        <w:left w:val="none" w:sz="0" w:space="0" w:color="auto"/>
        <w:bottom w:val="none" w:sz="0" w:space="0" w:color="auto"/>
        <w:right w:val="none" w:sz="0" w:space="0" w:color="auto"/>
      </w:divBdr>
    </w:div>
    <w:div w:id="306595347">
      <w:marLeft w:val="0"/>
      <w:marRight w:val="0"/>
      <w:marTop w:val="10"/>
      <w:marBottom w:val="10"/>
      <w:divBdr>
        <w:top w:val="none" w:sz="0" w:space="0" w:color="auto"/>
        <w:left w:val="none" w:sz="0" w:space="0" w:color="auto"/>
        <w:bottom w:val="none" w:sz="0" w:space="0" w:color="auto"/>
        <w:right w:val="none" w:sz="0" w:space="0" w:color="auto"/>
      </w:divBdr>
    </w:div>
    <w:div w:id="518929112">
      <w:marLeft w:val="0"/>
      <w:marRight w:val="720"/>
      <w:marTop w:val="10"/>
      <w:marBottom w:val="10"/>
      <w:divBdr>
        <w:top w:val="none" w:sz="0" w:space="0" w:color="auto"/>
        <w:left w:val="none" w:sz="0" w:space="0" w:color="auto"/>
        <w:bottom w:val="none" w:sz="0" w:space="0" w:color="auto"/>
        <w:right w:val="none" w:sz="0" w:space="0" w:color="auto"/>
      </w:divBdr>
    </w:div>
    <w:div w:id="1071385780">
      <w:marLeft w:val="0"/>
      <w:marRight w:val="0"/>
      <w:marTop w:val="10"/>
      <w:marBottom w:val="10"/>
      <w:divBdr>
        <w:top w:val="none" w:sz="0" w:space="0" w:color="auto"/>
        <w:left w:val="none" w:sz="0" w:space="0" w:color="auto"/>
        <w:bottom w:val="none" w:sz="0" w:space="0" w:color="auto"/>
        <w:right w:val="none" w:sz="0" w:space="0" w:color="auto"/>
      </w:divBdr>
    </w:div>
    <w:div w:id="1310673317">
      <w:marLeft w:val="0"/>
      <w:marRight w:val="0"/>
      <w:marTop w:val="10"/>
      <w:marBottom w:val="10"/>
      <w:divBdr>
        <w:top w:val="none" w:sz="0" w:space="0" w:color="auto"/>
        <w:left w:val="none" w:sz="0" w:space="0" w:color="auto"/>
        <w:bottom w:val="none" w:sz="0" w:space="0" w:color="auto"/>
        <w:right w:val="none" w:sz="0" w:space="0" w:color="auto"/>
      </w:divBdr>
    </w:div>
    <w:div w:id="1314330061">
      <w:marLeft w:val="0"/>
      <w:marRight w:val="0"/>
      <w:marTop w:val="10"/>
      <w:marBottom w:val="10"/>
      <w:divBdr>
        <w:top w:val="none" w:sz="0" w:space="0" w:color="auto"/>
        <w:left w:val="none" w:sz="0" w:space="0" w:color="auto"/>
        <w:bottom w:val="none" w:sz="0" w:space="0" w:color="auto"/>
        <w:right w:val="none" w:sz="0" w:space="0" w:color="auto"/>
      </w:divBdr>
    </w:div>
    <w:div w:id="1448887701">
      <w:marLeft w:val="0"/>
      <w:marRight w:val="0"/>
      <w:marTop w:val="10"/>
      <w:marBottom w:val="10"/>
      <w:divBdr>
        <w:top w:val="none" w:sz="0" w:space="0" w:color="auto"/>
        <w:left w:val="none" w:sz="0" w:space="0" w:color="auto"/>
        <w:bottom w:val="none" w:sz="0" w:space="0" w:color="auto"/>
        <w:right w:val="none" w:sz="0" w:space="0" w:color="auto"/>
      </w:divBdr>
    </w:div>
    <w:div w:id="1451047480">
      <w:marLeft w:val="0"/>
      <w:marRight w:val="0"/>
      <w:marTop w:val="10"/>
      <w:marBottom w:val="10"/>
      <w:divBdr>
        <w:top w:val="none" w:sz="0" w:space="0" w:color="auto"/>
        <w:left w:val="none" w:sz="0" w:space="0" w:color="auto"/>
        <w:bottom w:val="none" w:sz="0" w:space="0" w:color="auto"/>
        <w:right w:val="none" w:sz="0" w:space="0" w:color="auto"/>
      </w:divBdr>
    </w:div>
    <w:div w:id="1487673294">
      <w:marLeft w:val="0"/>
      <w:marRight w:val="0"/>
      <w:marTop w:val="10"/>
      <w:marBottom w:val="10"/>
      <w:divBdr>
        <w:top w:val="none" w:sz="0" w:space="0" w:color="auto"/>
        <w:left w:val="none" w:sz="0" w:space="0" w:color="auto"/>
        <w:bottom w:val="none" w:sz="0" w:space="0" w:color="auto"/>
        <w:right w:val="none" w:sz="0" w:space="0" w:color="auto"/>
      </w:divBdr>
    </w:div>
    <w:div w:id="1804689528">
      <w:marLeft w:val="0"/>
      <w:marRight w:val="0"/>
      <w:marTop w:val="10"/>
      <w:marBottom w:val="10"/>
      <w:divBdr>
        <w:top w:val="none" w:sz="0" w:space="0" w:color="auto"/>
        <w:left w:val="none" w:sz="0" w:space="0" w:color="auto"/>
        <w:bottom w:val="none" w:sz="0" w:space="0" w:color="auto"/>
        <w:right w:val="none" w:sz="0" w:space="0" w:color="auto"/>
      </w:divBdr>
    </w:div>
    <w:div w:id="1817068762">
      <w:marLeft w:val="0"/>
      <w:marRight w:val="720"/>
      <w:marTop w:val="10"/>
      <w:marBottom w:val="10"/>
      <w:divBdr>
        <w:top w:val="none" w:sz="0" w:space="0" w:color="auto"/>
        <w:left w:val="none" w:sz="0" w:space="0" w:color="auto"/>
        <w:bottom w:val="none" w:sz="0" w:space="0" w:color="auto"/>
        <w:right w:val="none" w:sz="0" w:space="0" w:color="auto"/>
      </w:divBdr>
    </w:div>
    <w:div w:id="1911308867">
      <w:marLeft w:val="0"/>
      <w:marRight w:val="720"/>
      <w:marTop w:val="10"/>
      <w:marBottom w:val="10"/>
      <w:divBdr>
        <w:top w:val="none" w:sz="0" w:space="0" w:color="auto"/>
        <w:left w:val="none" w:sz="0" w:space="0" w:color="auto"/>
        <w:bottom w:val="none" w:sz="0" w:space="0" w:color="auto"/>
        <w:right w:val="none" w:sz="0" w:space="0" w:color="auto"/>
      </w:divBdr>
    </w:div>
    <w:div w:id="1937248721">
      <w:marLeft w:val="0"/>
      <w:marRight w:val="720"/>
      <w:marTop w:val="10"/>
      <w:marBottom w:val="10"/>
      <w:divBdr>
        <w:top w:val="none" w:sz="0" w:space="0" w:color="auto"/>
        <w:left w:val="none" w:sz="0" w:space="0" w:color="auto"/>
        <w:bottom w:val="none" w:sz="0" w:space="0" w:color="auto"/>
        <w:right w:val="none" w:sz="0" w:space="0" w:color="auto"/>
      </w:divBdr>
    </w:div>
    <w:div w:id="1977831396">
      <w:marLeft w:val="0"/>
      <w:marRight w:val="0"/>
      <w:marTop w:val="10"/>
      <w:marBottom w:val="10"/>
      <w:divBdr>
        <w:top w:val="none" w:sz="0" w:space="0" w:color="auto"/>
        <w:left w:val="none" w:sz="0" w:space="0" w:color="auto"/>
        <w:bottom w:val="none" w:sz="0" w:space="0" w:color="auto"/>
        <w:right w:val="none" w:sz="0" w:space="0" w:color="auto"/>
      </w:divBdr>
    </w:div>
    <w:div w:id="2112895196">
      <w:marLeft w:val="0"/>
      <w:marRight w:val="720"/>
      <w:marTop w:val="10"/>
      <w:marBottom w:val="10"/>
      <w:divBdr>
        <w:top w:val="none" w:sz="0" w:space="0" w:color="auto"/>
        <w:left w:val="none" w:sz="0" w:space="0" w:color="auto"/>
        <w:bottom w:val="none" w:sz="0" w:space="0" w:color="auto"/>
        <w:right w:val="none" w:sz="0" w:space="0" w:color="auto"/>
      </w:divBdr>
    </w:div>
    <w:div w:id="212036981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