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12D48">
      <w:pPr>
        <w:spacing w:line="500" w:lineRule="atLeast"/>
        <w:jc w:val="center"/>
        <w:divId w:val="44333922"/>
        <w:rPr>
          <w:rFonts w:ascii="黑体" w:eastAsia="黑体" w:hAnsi="黑体"/>
          <w:sz w:val="36"/>
          <w:szCs w:val="36"/>
        </w:rPr>
      </w:pPr>
      <w:bookmarkStart w:id="0" w:name="_GoBack"/>
      <w:bookmarkEnd w:id="0"/>
      <w:r>
        <w:rPr>
          <w:rFonts w:ascii="黑体" w:eastAsia="黑体" w:hAnsi="黑体" w:hint="eastAsia"/>
          <w:sz w:val="36"/>
          <w:szCs w:val="36"/>
        </w:rPr>
        <w:t>北京市高级人民法院</w:t>
      </w:r>
    </w:p>
    <w:p w:rsidR="00000000" w:rsidRDefault="00912D48">
      <w:pPr>
        <w:spacing w:line="500" w:lineRule="atLeast"/>
        <w:jc w:val="center"/>
        <w:divId w:val="32836508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12D48">
      <w:pPr>
        <w:spacing w:line="500" w:lineRule="atLeast"/>
        <w:jc w:val="right"/>
        <w:divId w:val="1526596137"/>
        <w:rPr>
          <w:rFonts w:hint="eastAsia"/>
          <w:sz w:val="30"/>
          <w:szCs w:val="30"/>
        </w:rPr>
      </w:pPr>
      <w:r>
        <w:rPr>
          <w:rFonts w:hint="eastAsia"/>
          <w:sz w:val="30"/>
          <w:szCs w:val="30"/>
        </w:rPr>
        <w:t>（</w:t>
      </w:r>
      <w:r>
        <w:rPr>
          <w:rFonts w:hint="eastAsia"/>
          <w:sz w:val="30"/>
          <w:szCs w:val="30"/>
        </w:rPr>
        <w:t>2021</w:t>
      </w:r>
      <w:r>
        <w:rPr>
          <w:rFonts w:hint="eastAsia"/>
          <w:sz w:val="30"/>
          <w:szCs w:val="30"/>
        </w:rPr>
        <w:t>）京民申</w:t>
      </w:r>
      <w:r>
        <w:rPr>
          <w:rFonts w:hint="eastAsia"/>
          <w:sz w:val="30"/>
          <w:szCs w:val="30"/>
        </w:rPr>
        <w:t>1766</w:t>
      </w:r>
      <w:r>
        <w:rPr>
          <w:rFonts w:hint="eastAsia"/>
          <w:sz w:val="30"/>
          <w:szCs w:val="30"/>
        </w:rPr>
        <w:t>号</w:t>
      </w:r>
    </w:p>
    <w:p w:rsidR="00000000" w:rsidRDefault="00912D48">
      <w:pPr>
        <w:spacing w:line="500" w:lineRule="atLeast"/>
        <w:ind w:firstLine="600"/>
        <w:divId w:val="1649744333"/>
        <w:rPr>
          <w:rFonts w:hint="eastAsia"/>
          <w:sz w:val="30"/>
          <w:szCs w:val="30"/>
        </w:rPr>
      </w:pPr>
      <w:r>
        <w:rPr>
          <w:rFonts w:hint="eastAsia"/>
          <w:sz w:val="30"/>
          <w:szCs w:val="30"/>
        </w:rPr>
        <w:t>再审申请人（一审原告、二审上诉人）：李淑芹，女，</w:t>
      </w:r>
      <w:r>
        <w:rPr>
          <w:rFonts w:hint="eastAsia"/>
          <w:sz w:val="30"/>
          <w:szCs w:val="30"/>
        </w:rPr>
        <w:t>1957</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日出生，回族，社会退休人员，住北京市丰台区。</w:t>
      </w:r>
    </w:p>
    <w:p w:rsidR="00000000" w:rsidRDefault="00912D48">
      <w:pPr>
        <w:spacing w:line="500" w:lineRule="atLeast"/>
        <w:ind w:firstLine="600"/>
        <w:divId w:val="1486973575"/>
        <w:rPr>
          <w:rFonts w:hint="eastAsia"/>
          <w:sz w:val="30"/>
          <w:szCs w:val="30"/>
        </w:rPr>
      </w:pPr>
      <w:r>
        <w:rPr>
          <w:rFonts w:hint="eastAsia"/>
          <w:sz w:val="30"/>
          <w:szCs w:val="30"/>
        </w:rPr>
        <w:t>委托诉讼代理人：李保华（李淑芹之夫），住北京市丰台区。</w:t>
      </w:r>
    </w:p>
    <w:p w:rsidR="00000000" w:rsidRDefault="00912D48">
      <w:pPr>
        <w:spacing w:line="500" w:lineRule="atLeast"/>
        <w:ind w:firstLine="600"/>
        <w:divId w:val="1937251765"/>
        <w:rPr>
          <w:rFonts w:hint="eastAsia"/>
          <w:sz w:val="30"/>
          <w:szCs w:val="30"/>
        </w:rPr>
      </w:pPr>
      <w:r>
        <w:rPr>
          <w:rFonts w:hint="eastAsia"/>
          <w:sz w:val="30"/>
          <w:szCs w:val="30"/>
        </w:rPr>
        <w:t>被申请人（一审被告、二审被上诉人）：中国人民解放军总医院第六医学中心，住所地北京市海淀区阜成路</w:t>
      </w:r>
      <w:r>
        <w:rPr>
          <w:rFonts w:hint="eastAsia"/>
          <w:sz w:val="30"/>
          <w:szCs w:val="30"/>
        </w:rPr>
        <w:t>6</w:t>
      </w:r>
      <w:r>
        <w:rPr>
          <w:rFonts w:hint="eastAsia"/>
          <w:sz w:val="30"/>
          <w:szCs w:val="30"/>
        </w:rPr>
        <w:t>号。</w:t>
      </w:r>
    </w:p>
    <w:p w:rsidR="00000000" w:rsidRDefault="00912D48">
      <w:pPr>
        <w:spacing w:line="500" w:lineRule="atLeast"/>
        <w:ind w:firstLine="600"/>
        <w:divId w:val="1269772980"/>
        <w:rPr>
          <w:rFonts w:hint="eastAsia"/>
          <w:sz w:val="30"/>
          <w:szCs w:val="30"/>
        </w:rPr>
      </w:pPr>
      <w:r>
        <w:rPr>
          <w:rFonts w:hint="eastAsia"/>
          <w:sz w:val="30"/>
          <w:szCs w:val="30"/>
        </w:rPr>
        <w:t>负责人：白国刚，主任。</w:t>
      </w:r>
    </w:p>
    <w:p w:rsidR="00000000" w:rsidRDefault="00912D48">
      <w:pPr>
        <w:spacing w:line="500" w:lineRule="atLeast"/>
        <w:ind w:firstLine="600"/>
        <w:divId w:val="971642787"/>
        <w:rPr>
          <w:rFonts w:hint="eastAsia"/>
          <w:sz w:val="30"/>
          <w:szCs w:val="30"/>
        </w:rPr>
      </w:pPr>
      <w:r>
        <w:rPr>
          <w:rFonts w:hint="eastAsia"/>
          <w:sz w:val="30"/>
          <w:szCs w:val="30"/>
        </w:rPr>
        <w:t>再审申请人李淑芹因与被申请人中国人民解放军总医院第六医学中心（以下简称第六医学中心）医疗损害责任纠纷一案，不服北京市第一中级人民法院（</w:t>
      </w:r>
      <w:r>
        <w:rPr>
          <w:rFonts w:hint="eastAsia"/>
          <w:sz w:val="30"/>
          <w:szCs w:val="30"/>
        </w:rPr>
        <w:t>2020</w:t>
      </w:r>
      <w:r>
        <w:rPr>
          <w:rFonts w:hint="eastAsia"/>
          <w:sz w:val="30"/>
          <w:szCs w:val="30"/>
        </w:rPr>
        <w:t>）京</w:t>
      </w:r>
      <w:r>
        <w:rPr>
          <w:rFonts w:hint="eastAsia"/>
          <w:sz w:val="30"/>
          <w:szCs w:val="30"/>
        </w:rPr>
        <w:t>01</w:t>
      </w:r>
      <w:r>
        <w:rPr>
          <w:rFonts w:hint="eastAsia"/>
          <w:sz w:val="30"/>
          <w:szCs w:val="30"/>
        </w:rPr>
        <w:t>民终</w:t>
      </w:r>
      <w:r>
        <w:rPr>
          <w:rFonts w:hint="eastAsia"/>
          <w:sz w:val="30"/>
          <w:szCs w:val="30"/>
        </w:rPr>
        <w:t>7065</w:t>
      </w:r>
      <w:r>
        <w:rPr>
          <w:rFonts w:hint="eastAsia"/>
          <w:sz w:val="30"/>
          <w:szCs w:val="30"/>
        </w:rPr>
        <w:t>号民事判决，向本院申请再审。本院依法组成合议庭进行了审查，现已审查终结。</w:t>
      </w:r>
    </w:p>
    <w:p w:rsidR="00000000" w:rsidRDefault="00912D48">
      <w:pPr>
        <w:spacing w:line="500" w:lineRule="atLeast"/>
        <w:ind w:firstLine="600"/>
        <w:divId w:val="1237983239"/>
        <w:rPr>
          <w:rFonts w:hint="eastAsia"/>
          <w:sz w:val="30"/>
          <w:szCs w:val="30"/>
        </w:rPr>
      </w:pPr>
      <w:r>
        <w:rPr>
          <w:rFonts w:hint="eastAsia"/>
          <w:sz w:val="30"/>
          <w:szCs w:val="30"/>
        </w:rPr>
        <w:t>李淑芹申请再审称，一、二审判决认定事实不清，适用法律错误，判决简单粗暴，被申请人应负此次医疗事故的全部责任。综上，再审申请人依据民事诉讼法的相关规定申请再审。</w:t>
      </w:r>
    </w:p>
    <w:p w:rsidR="00000000" w:rsidRDefault="00912D48">
      <w:pPr>
        <w:spacing w:line="500" w:lineRule="atLeast"/>
        <w:ind w:firstLine="600"/>
        <w:divId w:val="826672292"/>
        <w:rPr>
          <w:rFonts w:hint="eastAsia"/>
          <w:sz w:val="30"/>
          <w:szCs w:val="30"/>
        </w:rPr>
      </w:pPr>
      <w:r>
        <w:rPr>
          <w:rFonts w:hint="eastAsia"/>
          <w:sz w:val="30"/>
          <w:szCs w:val="30"/>
        </w:rPr>
        <w:t>本院经审查认为，《中华人民共和国侵权责任法》第五十四条规定，患者在诊疗活动中受到损害，医疗机构及其医务人员有过错的，</w:t>
      </w:r>
      <w:r>
        <w:rPr>
          <w:rFonts w:hint="eastAsia"/>
          <w:sz w:val="30"/>
          <w:szCs w:val="30"/>
        </w:rPr>
        <w:t>由医疗机构承担赔偿责任；第五十八条规定，患者有损害，因下列情形之一的，推定医疗机构有过错：（一）违反法律、行政法规、规章以及其他有关诊疗规范的规定；（二）隐匿或者拒绝提供与纠纷有关的病历资料；（三）伪造、篡改或者销毁病历资料。本案系医疗损害责任纠纷，医疗损害责任纠纷适用过错责任原则。在医疗损害责任纠纷中，患</w:t>
      </w:r>
      <w:r>
        <w:rPr>
          <w:rFonts w:hint="eastAsia"/>
          <w:sz w:val="30"/>
          <w:szCs w:val="30"/>
        </w:rPr>
        <w:lastRenderedPageBreak/>
        <w:t>者一方应举证证明患者在诊疗活动中受到损害、医疗机构及其医务人员的诊疗行为是否负有过错、诊疗行为与损害后果之间存在因果关系。只有在《中华人民共和国侵权责任法》第五十八条规定的情形下，才可推定医疗机构有过错。</w:t>
      </w:r>
      <w:r>
        <w:rPr>
          <w:rFonts w:hint="eastAsia"/>
          <w:sz w:val="30"/>
          <w:szCs w:val="30"/>
        </w:rPr>
        <w:t>经查，本案在审理阶段，法院曾依法委托北京盛唐司法鉴定所对医院是否存在医疗过错、医疗过错行为与损害后果之间是否存在因果关系等进行鉴定。后北京盛唐司法鉴定所出具的终止鉴定告知书中写明，根据现有鉴定材料，医疗行为与损害后果之间的因果关系认定依据不足，该所终止了该鉴定委托。此后，法院基于李淑芹的申请，再次委托北京天平司法鉴定中心对本案进行医疗过错等鉴定工作。后李淑芹申请撤回司法鉴定，并在法院反复释明的情况下，坚持不再就第六医学中心是否存在医疗过错、医疗过错行为与损害后果之间是否存在因果关系以及原因力大小等事项申请鉴</w:t>
      </w:r>
      <w:r>
        <w:rPr>
          <w:rFonts w:hint="eastAsia"/>
          <w:sz w:val="30"/>
          <w:szCs w:val="30"/>
        </w:rPr>
        <w:t>定。鉴于李淑芹未提交充分证据证明第六医学中心的医疗行为存在过错以及第六医学中心的医疗行为与李淑芹的损害后果之间存在因果关系，对此其应承担举证不能的法律后果。两审法院根据查明的事实并结合相应证据所作判决，并无不当。李淑芹的再审申请不符合《中华人民共和国民事诉讼法》第二百条规定的情形。</w:t>
      </w:r>
    </w:p>
    <w:p w:rsidR="00000000" w:rsidRDefault="00912D48">
      <w:pPr>
        <w:spacing w:line="500" w:lineRule="atLeast"/>
        <w:ind w:firstLine="600"/>
        <w:divId w:val="451094385"/>
        <w:rPr>
          <w:rFonts w:hint="eastAsia"/>
          <w:sz w:val="30"/>
          <w:szCs w:val="30"/>
        </w:rPr>
      </w:pPr>
      <w:r>
        <w:rPr>
          <w:rFonts w:hint="eastAsia"/>
          <w:sz w:val="30"/>
          <w:szCs w:val="30"/>
        </w:rPr>
        <w:t>依照《中华人民共和国民事诉讼法》第二百零四条第一款，《最高人民法院关于适</w:t>
      </w:r>
      <w:r>
        <w:rPr>
          <w:rFonts w:hint="eastAsia"/>
          <w:sz w:val="30"/>
          <w:szCs w:val="30"/>
        </w:rPr>
        <w:t>用</w:t>
      </w:r>
      <w:r>
        <w:rPr>
          <w:rFonts w:hint="eastAsia"/>
          <w:sz w:val="30"/>
          <w:szCs w:val="30"/>
        </w:rPr>
        <w:t>的解释》第三百九十五条第二款规定，裁定如下：</w:t>
      </w:r>
    </w:p>
    <w:p w:rsidR="00000000" w:rsidRDefault="00912D48">
      <w:pPr>
        <w:spacing w:line="500" w:lineRule="atLeast"/>
        <w:ind w:firstLine="600"/>
        <w:divId w:val="600725353"/>
        <w:rPr>
          <w:rFonts w:hint="eastAsia"/>
          <w:sz w:val="30"/>
          <w:szCs w:val="30"/>
        </w:rPr>
      </w:pPr>
      <w:r>
        <w:rPr>
          <w:rFonts w:hint="eastAsia"/>
          <w:sz w:val="30"/>
          <w:szCs w:val="30"/>
        </w:rPr>
        <w:t>驳回李淑芹的再审申请。</w:t>
      </w:r>
    </w:p>
    <w:p w:rsidR="00000000" w:rsidRDefault="00912D48">
      <w:pPr>
        <w:spacing w:line="500" w:lineRule="atLeast"/>
        <w:jc w:val="right"/>
        <w:divId w:val="2132628870"/>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王立杰</w:t>
      </w:r>
    </w:p>
    <w:p w:rsidR="00000000" w:rsidRDefault="00912D48">
      <w:pPr>
        <w:spacing w:line="500" w:lineRule="atLeast"/>
        <w:jc w:val="right"/>
        <w:divId w:val="547571309"/>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李　林</w:t>
      </w:r>
    </w:p>
    <w:p w:rsidR="00000000" w:rsidRDefault="00912D48">
      <w:pPr>
        <w:spacing w:line="500" w:lineRule="atLeast"/>
        <w:jc w:val="right"/>
        <w:divId w:val="1589844341"/>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王士欣</w:t>
      </w:r>
    </w:p>
    <w:p w:rsidR="00000000" w:rsidRDefault="00912D48">
      <w:pPr>
        <w:spacing w:line="500" w:lineRule="atLeast"/>
        <w:jc w:val="right"/>
        <w:divId w:val="877274553"/>
        <w:rPr>
          <w:rFonts w:hint="eastAsia"/>
          <w:sz w:val="30"/>
          <w:szCs w:val="30"/>
        </w:rPr>
      </w:pPr>
      <w:r>
        <w:rPr>
          <w:rFonts w:hint="eastAsia"/>
          <w:sz w:val="30"/>
          <w:szCs w:val="30"/>
        </w:rPr>
        <w:t>二〇二一年三月三十日</w:t>
      </w:r>
    </w:p>
    <w:p w:rsidR="00000000" w:rsidRDefault="00912D48">
      <w:pPr>
        <w:spacing w:line="500" w:lineRule="atLeast"/>
        <w:jc w:val="right"/>
        <w:divId w:val="1283803482"/>
        <w:rPr>
          <w:rFonts w:hint="eastAsia"/>
          <w:sz w:val="30"/>
          <w:szCs w:val="30"/>
        </w:rPr>
      </w:pPr>
      <w:r>
        <w:rPr>
          <w:rFonts w:hint="eastAsia"/>
          <w:sz w:val="30"/>
          <w:szCs w:val="30"/>
        </w:rPr>
        <w:lastRenderedPageBreak/>
        <w:t>法</w:t>
      </w:r>
      <w:r>
        <w:rPr>
          <w:rFonts w:hint="eastAsia"/>
          <w:sz w:val="30"/>
          <w:szCs w:val="30"/>
        </w:rPr>
        <w:t>官助理　宋　琛</w:t>
      </w:r>
    </w:p>
    <w:p w:rsidR="00000000" w:rsidRDefault="00912D48">
      <w:pPr>
        <w:spacing w:line="500" w:lineRule="atLeast"/>
        <w:jc w:val="right"/>
        <w:divId w:val="236862101"/>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张　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2D48" w:rsidRDefault="00912D48" w:rsidP="00912D48">
      <w:r>
        <w:separator/>
      </w:r>
    </w:p>
  </w:endnote>
  <w:endnote w:type="continuationSeparator" w:id="0">
    <w:p w:rsidR="00912D48" w:rsidRDefault="00912D48" w:rsidP="00912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2D48" w:rsidRDefault="00912D48" w:rsidP="00912D48">
      <w:r>
        <w:separator/>
      </w:r>
    </w:p>
  </w:footnote>
  <w:footnote w:type="continuationSeparator" w:id="0">
    <w:p w:rsidR="00912D48" w:rsidRDefault="00912D48" w:rsidP="00912D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12D48"/>
    <w:rsid w:val="00912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12D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2D48"/>
    <w:rPr>
      <w:rFonts w:ascii="宋体" w:eastAsia="宋体" w:hAnsi="宋体" w:cs="宋体"/>
      <w:sz w:val="18"/>
      <w:szCs w:val="18"/>
    </w:rPr>
  </w:style>
  <w:style w:type="paragraph" w:styleId="a5">
    <w:name w:val="footer"/>
    <w:basedOn w:val="a"/>
    <w:link w:val="a6"/>
    <w:uiPriority w:val="99"/>
    <w:unhideWhenUsed/>
    <w:rsid w:val="00912D48"/>
    <w:pPr>
      <w:tabs>
        <w:tab w:val="center" w:pos="4153"/>
        <w:tab w:val="right" w:pos="8306"/>
      </w:tabs>
      <w:snapToGrid w:val="0"/>
    </w:pPr>
    <w:rPr>
      <w:sz w:val="18"/>
      <w:szCs w:val="18"/>
    </w:rPr>
  </w:style>
  <w:style w:type="character" w:customStyle="1" w:styleId="a6">
    <w:name w:val="页脚 字符"/>
    <w:basedOn w:val="a0"/>
    <w:link w:val="a5"/>
    <w:uiPriority w:val="99"/>
    <w:rsid w:val="00912D4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33922">
      <w:marLeft w:val="0"/>
      <w:marRight w:val="0"/>
      <w:marTop w:val="10"/>
      <w:marBottom w:val="10"/>
      <w:divBdr>
        <w:top w:val="none" w:sz="0" w:space="0" w:color="auto"/>
        <w:left w:val="none" w:sz="0" w:space="0" w:color="auto"/>
        <w:bottom w:val="none" w:sz="0" w:space="0" w:color="auto"/>
        <w:right w:val="none" w:sz="0" w:space="0" w:color="auto"/>
      </w:divBdr>
    </w:div>
    <w:div w:id="236862101">
      <w:marLeft w:val="0"/>
      <w:marRight w:val="720"/>
      <w:marTop w:val="10"/>
      <w:marBottom w:val="10"/>
      <w:divBdr>
        <w:top w:val="none" w:sz="0" w:space="0" w:color="auto"/>
        <w:left w:val="none" w:sz="0" w:space="0" w:color="auto"/>
        <w:bottom w:val="none" w:sz="0" w:space="0" w:color="auto"/>
        <w:right w:val="none" w:sz="0" w:space="0" w:color="auto"/>
      </w:divBdr>
    </w:div>
    <w:div w:id="328365080">
      <w:marLeft w:val="0"/>
      <w:marRight w:val="0"/>
      <w:marTop w:val="10"/>
      <w:marBottom w:val="10"/>
      <w:divBdr>
        <w:top w:val="none" w:sz="0" w:space="0" w:color="auto"/>
        <w:left w:val="none" w:sz="0" w:space="0" w:color="auto"/>
        <w:bottom w:val="none" w:sz="0" w:space="0" w:color="auto"/>
        <w:right w:val="none" w:sz="0" w:space="0" w:color="auto"/>
      </w:divBdr>
    </w:div>
    <w:div w:id="451094385">
      <w:marLeft w:val="0"/>
      <w:marRight w:val="0"/>
      <w:marTop w:val="10"/>
      <w:marBottom w:val="10"/>
      <w:divBdr>
        <w:top w:val="none" w:sz="0" w:space="0" w:color="auto"/>
        <w:left w:val="none" w:sz="0" w:space="0" w:color="auto"/>
        <w:bottom w:val="none" w:sz="0" w:space="0" w:color="auto"/>
        <w:right w:val="none" w:sz="0" w:space="0" w:color="auto"/>
      </w:divBdr>
    </w:div>
    <w:div w:id="547571309">
      <w:marLeft w:val="0"/>
      <w:marRight w:val="720"/>
      <w:marTop w:val="10"/>
      <w:marBottom w:val="10"/>
      <w:divBdr>
        <w:top w:val="none" w:sz="0" w:space="0" w:color="auto"/>
        <w:left w:val="none" w:sz="0" w:space="0" w:color="auto"/>
        <w:bottom w:val="none" w:sz="0" w:space="0" w:color="auto"/>
        <w:right w:val="none" w:sz="0" w:space="0" w:color="auto"/>
      </w:divBdr>
    </w:div>
    <w:div w:id="600725353">
      <w:marLeft w:val="0"/>
      <w:marRight w:val="0"/>
      <w:marTop w:val="10"/>
      <w:marBottom w:val="10"/>
      <w:divBdr>
        <w:top w:val="none" w:sz="0" w:space="0" w:color="auto"/>
        <w:left w:val="none" w:sz="0" w:space="0" w:color="auto"/>
        <w:bottom w:val="none" w:sz="0" w:space="0" w:color="auto"/>
        <w:right w:val="none" w:sz="0" w:space="0" w:color="auto"/>
      </w:divBdr>
    </w:div>
    <w:div w:id="826672292">
      <w:marLeft w:val="0"/>
      <w:marRight w:val="0"/>
      <w:marTop w:val="10"/>
      <w:marBottom w:val="10"/>
      <w:divBdr>
        <w:top w:val="none" w:sz="0" w:space="0" w:color="auto"/>
        <w:left w:val="none" w:sz="0" w:space="0" w:color="auto"/>
        <w:bottom w:val="none" w:sz="0" w:space="0" w:color="auto"/>
        <w:right w:val="none" w:sz="0" w:space="0" w:color="auto"/>
      </w:divBdr>
    </w:div>
    <w:div w:id="877274553">
      <w:marLeft w:val="0"/>
      <w:marRight w:val="720"/>
      <w:marTop w:val="10"/>
      <w:marBottom w:val="10"/>
      <w:divBdr>
        <w:top w:val="none" w:sz="0" w:space="0" w:color="auto"/>
        <w:left w:val="none" w:sz="0" w:space="0" w:color="auto"/>
        <w:bottom w:val="none" w:sz="0" w:space="0" w:color="auto"/>
        <w:right w:val="none" w:sz="0" w:space="0" w:color="auto"/>
      </w:divBdr>
    </w:div>
    <w:div w:id="971642787">
      <w:marLeft w:val="0"/>
      <w:marRight w:val="0"/>
      <w:marTop w:val="10"/>
      <w:marBottom w:val="10"/>
      <w:divBdr>
        <w:top w:val="none" w:sz="0" w:space="0" w:color="auto"/>
        <w:left w:val="none" w:sz="0" w:space="0" w:color="auto"/>
        <w:bottom w:val="none" w:sz="0" w:space="0" w:color="auto"/>
        <w:right w:val="none" w:sz="0" w:space="0" w:color="auto"/>
      </w:divBdr>
    </w:div>
    <w:div w:id="1237983239">
      <w:marLeft w:val="0"/>
      <w:marRight w:val="0"/>
      <w:marTop w:val="10"/>
      <w:marBottom w:val="10"/>
      <w:divBdr>
        <w:top w:val="none" w:sz="0" w:space="0" w:color="auto"/>
        <w:left w:val="none" w:sz="0" w:space="0" w:color="auto"/>
        <w:bottom w:val="none" w:sz="0" w:space="0" w:color="auto"/>
        <w:right w:val="none" w:sz="0" w:space="0" w:color="auto"/>
      </w:divBdr>
    </w:div>
    <w:div w:id="1269772980">
      <w:marLeft w:val="0"/>
      <w:marRight w:val="0"/>
      <w:marTop w:val="10"/>
      <w:marBottom w:val="10"/>
      <w:divBdr>
        <w:top w:val="none" w:sz="0" w:space="0" w:color="auto"/>
        <w:left w:val="none" w:sz="0" w:space="0" w:color="auto"/>
        <w:bottom w:val="none" w:sz="0" w:space="0" w:color="auto"/>
        <w:right w:val="none" w:sz="0" w:space="0" w:color="auto"/>
      </w:divBdr>
    </w:div>
    <w:div w:id="1283803482">
      <w:marLeft w:val="0"/>
      <w:marRight w:val="720"/>
      <w:marTop w:val="10"/>
      <w:marBottom w:val="10"/>
      <w:divBdr>
        <w:top w:val="none" w:sz="0" w:space="0" w:color="auto"/>
        <w:left w:val="none" w:sz="0" w:space="0" w:color="auto"/>
        <w:bottom w:val="none" w:sz="0" w:space="0" w:color="auto"/>
        <w:right w:val="none" w:sz="0" w:space="0" w:color="auto"/>
      </w:divBdr>
    </w:div>
    <w:div w:id="1486973575">
      <w:marLeft w:val="0"/>
      <w:marRight w:val="0"/>
      <w:marTop w:val="10"/>
      <w:marBottom w:val="10"/>
      <w:divBdr>
        <w:top w:val="none" w:sz="0" w:space="0" w:color="auto"/>
        <w:left w:val="none" w:sz="0" w:space="0" w:color="auto"/>
        <w:bottom w:val="none" w:sz="0" w:space="0" w:color="auto"/>
        <w:right w:val="none" w:sz="0" w:space="0" w:color="auto"/>
      </w:divBdr>
    </w:div>
    <w:div w:id="1526596137">
      <w:marLeft w:val="0"/>
      <w:marRight w:val="0"/>
      <w:marTop w:val="10"/>
      <w:marBottom w:val="10"/>
      <w:divBdr>
        <w:top w:val="none" w:sz="0" w:space="0" w:color="auto"/>
        <w:left w:val="none" w:sz="0" w:space="0" w:color="auto"/>
        <w:bottom w:val="none" w:sz="0" w:space="0" w:color="auto"/>
        <w:right w:val="none" w:sz="0" w:space="0" w:color="auto"/>
      </w:divBdr>
    </w:div>
    <w:div w:id="1589844341">
      <w:marLeft w:val="0"/>
      <w:marRight w:val="720"/>
      <w:marTop w:val="10"/>
      <w:marBottom w:val="10"/>
      <w:divBdr>
        <w:top w:val="none" w:sz="0" w:space="0" w:color="auto"/>
        <w:left w:val="none" w:sz="0" w:space="0" w:color="auto"/>
        <w:bottom w:val="none" w:sz="0" w:space="0" w:color="auto"/>
        <w:right w:val="none" w:sz="0" w:space="0" w:color="auto"/>
      </w:divBdr>
    </w:div>
    <w:div w:id="1649744333">
      <w:marLeft w:val="0"/>
      <w:marRight w:val="0"/>
      <w:marTop w:val="10"/>
      <w:marBottom w:val="10"/>
      <w:divBdr>
        <w:top w:val="none" w:sz="0" w:space="0" w:color="auto"/>
        <w:left w:val="none" w:sz="0" w:space="0" w:color="auto"/>
        <w:bottom w:val="none" w:sz="0" w:space="0" w:color="auto"/>
        <w:right w:val="none" w:sz="0" w:space="0" w:color="auto"/>
      </w:divBdr>
    </w:div>
    <w:div w:id="1937251765">
      <w:marLeft w:val="0"/>
      <w:marRight w:val="0"/>
      <w:marTop w:val="10"/>
      <w:marBottom w:val="10"/>
      <w:divBdr>
        <w:top w:val="none" w:sz="0" w:space="0" w:color="auto"/>
        <w:left w:val="none" w:sz="0" w:space="0" w:color="auto"/>
        <w:bottom w:val="none" w:sz="0" w:space="0" w:color="auto"/>
        <w:right w:val="none" w:sz="0" w:space="0" w:color="auto"/>
      </w:divBdr>
    </w:div>
    <w:div w:id="2132628870">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2023-04-10T06:57:00Z</dcterms:created>
  <dcterms:modified xsi:type="dcterms:W3CDTF">2023-04-10T06:57:00Z</dcterms:modified>
</cp:coreProperties>
</file>