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008B8">
      <w:pPr>
        <w:spacing w:line="500" w:lineRule="atLeast"/>
        <w:jc w:val="center"/>
        <w:divId w:val="931161826"/>
        <w:rPr>
          <w:rFonts w:ascii="黑体" w:eastAsia="黑体" w:hAnsi="黑体"/>
          <w:sz w:val="36"/>
          <w:szCs w:val="36"/>
        </w:rPr>
      </w:pPr>
      <w:bookmarkStart w:id="0" w:name="_GoBack"/>
      <w:bookmarkEnd w:id="0"/>
      <w:r>
        <w:rPr>
          <w:rFonts w:ascii="黑体" w:eastAsia="黑体" w:hAnsi="黑体" w:hint="eastAsia"/>
          <w:sz w:val="36"/>
          <w:szCs w:val="36"/>
        </w:rPr>
        <w:t>上海市高级人民法院</w:t>
      </w:r>
    </w:p>
    <w:p w:rsidR="00000000" w:rsidRDefault="009008B8">
      <w:pPr>
        <w:spacing w:line="500" w:lineRule="atLeast"/>
        <w:jc w:val="center"/>
        <w:divId w:val="474564224"/>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008B8">
      <w:pPr>
        <w:spacing w:line="500" w:lineRule="atLeast"/>
        <w:jc w:val="right"/>
        <w:divId w:val="1209611895"/>
        <w:rPr>
          <w:rFonts w:hint="eastAsia"/>
          <w:sz w:val="30"/>
          <w:szCs w:val="30"/>
        </w:rPr>
      </w:pPr>
      <w:r>
        <w:rPr>
          <w:rFonts w:hint="eastAsia"/>
          <w:sz w:val="30"/>
          <w:szCs w:val="30"/>
        </w:rPr>
        <w:t>（</w:t>
      </w:r>
      <w:r>
        <w:rPr>
          <w:rFonts w:hint="eastAsia"/>
          <w:sz w:val="30"/>
          <w:szCs w:val="30"/>
        </w:rPr>
        <w:t>2019</w:t>
      </w:r>
      <w:r>
        <w:rPr>
          <w:rFonts w:hint="eastAsia"/>
          <w:sz w:val="30"/>
          <w:szCs w:val="30"/>
        </w:rPr>
        <w:t>）沪行申</w:t>
      </w:r>
      <w:r>
        <w:rPr>
          <w:rFonts w:hint="eastAsia"/>
          <w:sz w:val="30"/>
          <w:szCs w:val="30"/>
        </w:rPr>
        <w:t>630</w:t>
      </w:r>
      <w:r>
        <w:rPr>
          <w:rFonts w:hint="eastAsia"/>
          <w:sz w:val="30"/>
          <w:szCs w:val="30"/>
        </w:rPr>
        <w:t>号</w:t>
      </w:r>
    </w:p>
    <w:p w:rsidR="00000000" w:rsidRDefault="009008B8">
      <w:pPr>
        <w:spacing w:line="500" w:lineRule="atLeast"/>
        <w:ind w:firstLine="600"/>
        <w:divId w:val="121969310"/>
        <w:rPr>
          <w:rFonts w:hint="eastAsia"/>
          <w:sz w:val="30"/>
          <w:szCs w:val="30"/>
        </w:rPr>
      </w:pPr>
      <w:r>
        <w:rPr>
          <w:rFonts w:hint="eastAsia"/>
          <w:sz w:val="30"/>
          <w:szCs w:val="30"/>
        </w:rPr>
        <w:t>再审申请人</w:t>
      </w:r>
      <w:r>
        <w:rPr>
          <w:rFonts w:hint="eastAsia"/>
          <w:sz w:val="30"/>
          <w:szCs w:val="30"/>
        </w:rPr>
        <w:t>(</w:t>
      </w:r>
      <w:r>
        <w:rPr>
          <w:rFonts w:hint="eastAsia"/>
          <w:sz w:val="30"/>
          <w:szCs w:val="30"/>
        </w:rPr>
        <w:t>一审原告、二审上诉人</w:t>
      </w:r>
      <w:r>
        <w:rPr>
          <w:rFonts w:hint="eastAsia"/>
          <w:sz w:val="30"/>
          <w:szCs w:val="30"/>
        </w:rPr>
        <w:t>)</w:t>
      </w:r>
      <w:r>
        <w:rPr>
          <w:rFonts w:hint="eastAsia"/>
          <w:sz w:val="30"/>
          <w:szCs w:val="30"/>
        </w:rPr>
        <w:t>杨华兰，女，</w:t>
      </w:r>
      <w:r>
        <w:rPr>
          <w:rFonts w:hint="eastAsia"/>
          <w:sz w:val="30"/>
          <w:szCs w:val="30"/>
        </w:rPr>
        <w:t>1990</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日出生，土家族，住重庆市。</w:t>
      </w:r>
    </w:p>
    <w:p w:rsidR="00000000" w:rsidRDefault="009008B8">
      <w:pPr>
        <w:spacing w:line="500" w:lineRule="atLeast"/>
        <w:ind w:firstLine="600"/>
        <w:divId w:val="1027095655"/>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上海市黄浦区卫生和计划生育委员会，住所地上海市黄浦区。</w:t>
      </w:r>
    </w:p>
    <w:p w:rsidR="00000000" w:rsidRDefault="009008B8">
      <w:pPr>
        <w:spacing w:line="500" w:lineRule="atLeast"/>
        <w:ind w:firstLine="600"/>
        <w:divId w:val="1680423000"/>
        <w:rPr>
          <w:rFonts w:hint="eastAsia"/>
          <w:sz w:val="30"/>
          <w:szCs w:val="30"/>
        </w:rPr>
      </w:pPr>
      <w:r>
        <w:rPr>
          <w:rFonts w:hint="eastAsia"/>
          <w:sz w:val="30"/>
          <w:szCs w:val="30"/>
        </w:rPr>
        <w:t>法定代表人杨国威。</w:t>
      </w:r>
    </w:p>
    <w:p w:rsidR="00000000" w:rsidRDefault="009008B8">
      <w:pPr>
        <w:spacing w:line="500" w:lineRule="atLeast"/>
        <w:ind w:firstLine="600"/>
        <w:divId w:val="257181703"/>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上海市卫生健康委员会，住所地上海市浦东新区。</w:t>
      </w:r>
    </w:p>
    <w:p w:rsidR="00000000" w:rsidRDefault="009008B8">
      <w:pPr>
        <w:spacing w:line="500" w:lineRule="atLeast"/>
        <w:ind w:firstLine="600"/>
        <w:divId w:val="1100368836"/>
        <w:rPr>
          <w:rFonts w:hint="eastAsia"/>
          <w:sz w:val="30"/>
          <w:szCs w:val="30"/>
        </w:rPr>
      </w:pPr>
      <w:r>
        <w:rPr>
          <w:rFonts w:hint="eastAsia"/>
          <w:sz w:val="30"/>
          <w:szCs w:val="30"/>
        </w:rPr>
        <w:t>法定代表人邬惊雷。</w:t>
      </w:r>
    </w:p>
    <w:p w:rsidR="00000000" w:rsidRDefault="009008B8">
      <w:pPr>
        <w:spacing w:line="500" w:lineRule="atLeast"/>
        <w:ind w:firstLine="600"/>
        <w:divId w:val="1296637901"/>
        <w:rPr>
          <w:rFonts w:hint="eastAsia"/>
          <w:sz w:val="30"/>
          <w:szCs w:val="30"/>
        </w:rPr>
      </w:pPr>
      <w:r>
        <w:rPr>
          <w:rFonts w:hint="eastAsia"/>
          <w:sz w:val="30"/>
          <w:szCs w:val="30"/>
        </w:rPr>
        <w:t>再审申请人杨华兰因与被申请人上海市黄浦区卫生和计划生育委员会</w:t>
      </w:r>
      <w:r>
        <w:rPr>
          <w:rFonts w:hint="eastAsia"/>
          <w:sz w:val="30"/>
          <w:szCs w:val="30"/>
        </w:rPr>
        <w:t>(</w:t>
      </w:r>
      <w:r>
        <w:rPr>
          <w:rFonts w:hint="eastAsia"/>
          <w:sz w:val="30"/>
          <w:szCs w:val="30"/>
        </w:rPr>
        <w:t>以下简称黄浦区卫计委</w:t>
      </w:r>
      <w:r>
        <w:rPr>
          <w:rFonts w:hint="eastAsia"/>
          <w:sz w:val="30"/>
          <w:szCs w:val="30"/>
        </w:rPr>
        <w:t>)</w:t>
      </w:r>
      <w:r>
        <w:rPr>
          <w:rFonts w:hint="eastAsia"/>
          <w:sz w:val="30"/>
          <w:szCs w:val="30"/>
        </w:rPr>
        <w:t>、上海市卫生健康委员会</w:t>
      </w:r>
      <w:r>
        <w:rPr>
          <w:rFonts w:hint="eastAsia"/>
          <w:sz w:val="30"/>
          <w:szCs w:val="30"/>
        </w:rPr>
        <w:t>(</w:t>
      </w:r>
      <w:r>
        <w:rPr>
          <w:rFonts w:hint="eastAsia"/>
          <w:sz w:val="30"/>
          <w:szCs w:val="30"/>
        </w:rPr>
        <w:t>以下简称市卫健委</w:t>
      </w:r>
      <w:r>
        <w:rPr>
          <w:rFonts w:hint="eastAsia"/>
          <w:sz w:val="30"/>
          <w:szCs w:val="30"/>
        </w:rPr>
        <w:t>)</w:t>
      </w:r>
      <w:r>
        <w:rPr>
          <w:rFonts w:hint="eastAsia"/>
          <w:sz w:val="30"/>
          <w:szCs w:val="30"/>
        </w:rPr>
        <w:t>行政行为及行政复议决定一案，不服上海市第一中级人民法院</w:t>
      </w:r>
      <w:r>
        <w:rPr>
          <w:rFonts w:hint="eastAsia"/>
          <w:sz w:val="30"/>
          <w:szCs w:val="30"/>
        </w:rPr>
        <w:t>(2019)</w:t>
      </w:r>
      <w:r>
        <w:rPr>
          <w:rFonts w:hint="eastAsia"/>
          <w:sz w:val="30"/>
          <w:szCs w:val="30"/>
        </w:rPr>
        <w:t>沪</w:t>
      </w:r>
      <w:r>
        <w:rPr>
          <w:rFonts w:hint="eastAsia"/>
          <w:sz w:val="30"/>
          <w:szCs w:val="30"/>
        </w:rPr>
        <w:t>01</w:t>
      </w:r>
      <w:r>
        <w:rPr>
          <w:rFonts w:hint="eastAsia"/>
          <w:sz w:val="30"/>
          <w:szCs w:val="30"/>
        </w:rPr>
        <w:t>行终</w:t>
      </w:r>
      <w:r>
        <w:rPr>
          <w:rFonts w:hint="eastAsia"/>
          <w:sz w:val="30"/>
          <w:szCs w:val="30"/>
        </w:rPr>
        <w:t>25</w:t>
      </w:r>
      <w:r>
        <w:rPr>
          <w:rFonts w:hint="eastAsia"/>
          <w:sz w:val="30"/>
          <w:szCs w:val="30"/>
        </w:rPr>
        <w:t>号行政判决，向本院申请再审。本院依法组成合议庭对本案进行了审查，现已审查终结。</w:t>
      </w:r>
    </w:p>
    <w:p w:rsidR="00000000" w:rsidRDefault="009008B8">
      <w:pPr>
        <w:spacing w:line="500" w:lineRule="atLeast"/>
        <w:ind w:firstLine="600"/>
        <w:divId w:val="287007965"/>
        <w:rPr>
          <w:rFonts w:hint="eastAsia"/>
          <w:sz w:val="30"/>
          <w:szCs w:val="30"/>
        </w:rPr>
      </w:pPr>
      <w:r>
        <w:rPr>
          <w:rFonts w:hint="eastAsia"/>
          <w:sz w:val="30"/>
          <w:szCs w:val="30"/>
        </w:rPr>
        <w:t>杨华兰申请再审称，本案中，妇产科医院及其医务人员在诊疗活动中未尽到与医疗水平相应的诊疗义务，自始至终未明确诊断治疗其宫颈出血部位，违反了医疗卫生管理法律法规和诊疗护理规范，应当构成医疗事故。其要求医疗事故技术鉴定专家进行现场医</w:t>
      </w:r>
      <w:r>
        <w:rPr>
          <w:rFonts w:hint="eastAsia"/>
          <w:sz w:val="30"/>
          <w:szCs w:val="30"/>
        </w:rPr>
        <w:t>学检查，专家并未采纳其主张，两次鉴定结论对其病情认定事实不清，鉴定程序违法。原判驳回其诉讼请求属于适用法律不当。依照《中华人民共和国行政诉讼法》第九十一条第四项之规定申请再审。</w:t>
      </w:r>
    </w:p>
    <w:p w:rsidR="00000000" w:rsidRDefault="009008B8">
      <w:pPr>
        <w:spacing w:line="500" w:lineRule="atLeast"/>
        <w:ind w:firstLine="600"/>
        <w:divId w:val="177623937"/>
        <w:rPr>
          <w:rFonts w:hint="eastAsia"/>
          <w:sz w:val="30"/>
          <w:szCs w:val="30"/>
        </w:rPr>
      </w:pPr>
      <w:r>
        <w:rPr>
          <w:rFonts w:hint="eastAsia"/>
          <w:sz w:val="30"/>
          <w:szCs w:val="30"/>
        </w:rPr>
        <w:t>本院认为，《医疗事故处理条例》第二十条规定，卫生行政部门接到医疗机构关于重大医疗过失行为的报告或者医疗事</w:t>
      </w:r>
      <w:r>
        <w:rPr>
          <w:rFonts w:hint="eastAsia"/>
          <w:sz w:val="30"/>
          <w:szCs w:val="30"/>
        </w:rPr>
        <w:lastRenderedPageBreak/>
        <w:t>故争议当事人要求处理医疗事故争议的申请后，对需要进行医疗事故技术鉴定的，应当交由负责医疗事故技术鉴定工作的医学会组织鉴定；医患双方协商解决医疗事故争议，需要进行医疗事故技术鉴定的，由双方当事人共同委托负责医疗事故技术鉴定工作的医学</w:t>
      </w:r>
      <w:r>
        <w:rPr>
          <w:rFonts w:hint="eastAsia"/>
          <w:sz w:val="30"/>
          <w:szCs w:val="30"/>
        </w:rPr>
        <w:t>会组织鉴定。《医疗事故处理条例》第四十一条规定，卫生行政部门收到负责组织医疗事故技术鉴定工作的医学会出具的医疗事故技术鉴定书后，应当对参加鉴定的人员资格和专业类别、鉴定程序进行审核；必要时，可以组织调查，听取医疗事故争议双方当事人的意见。根据上述规定，卫生行政部门仅对医疗事故技术鉴定工作的医学会进行医疗事故技术鉴定的人员和专业资质、程序等进行审核，不审核医疗事故技术鉴定书涉及的专业性问题。《医疗事故处理条例》亦规定了医疗事故技术鉴定的相关程序。本案中，黄浦区卫计委收到市医学会出具的医疗事故技术鉴定后，对参加</w:t>
      </w:r>
      <w:r>
        <w:rPr>
          <w:rFonts w:hint="eastAsia"/>
          <w:sz w:val="30"/>
          <w:szCs w:val="30"/>
        </w:rPr>
        <w:t>鉴定的人员资格和专业类别、鉴定程序进行审核后认为符合《医疗事故处理条例》的有关规定作出被诉告知，适用法律正确，程序并无不当。杨华兰不服被诉告知申请行政复议，市卫健委在对复议申请及被申请人提供的证据材料进行审查后，作出维持的复议决定，认定事实、适用法律和复议程序亦无不当。据此，原判驳回杨华兰的诉讼请求于法不悖。</w:t>
      </w:r>
    </w:p>
    <w:p w:rsidR="00000000" w:rsidRDefault="009008B8">
      <w:pPr>
        <w:spacing w:line="500" w:lineRule="atLeast"/>
        <w:ind w:firstLine="600"/>
        <w:divId w:val="597174114"/>
        <w:rPr>
          <w:rFonts w:hint="eastAsia"/>
          <w:sz w:val="30"/>
          <w:szCs w:val="30"/>
        </w:rPr>
      </w:pPr>
      <w:r>
        <w:rPr>
          <w:rFonts w:hint="eastAsia"/>
          <w:sz w:val="30"/>
          <w:szCs w:val="30"/>
        </w:rPr>
        <w:t>综上所述，杨华兰的再审申请不符合《中华人民共和国行政诉讼法》第九十一条第四项规定的情形。依照《最高人民法院关于适</w:t>
      </w:r>
      <w:r>
        <w:rPr>
          <w:rFonts w:hint="eastAsia"/>
          <w:sz w:val="30"/>
          <w:szCs w:val="30"/>
        </w:rPr>
        <w:t>用</w:t>
      </w:r>
      <w:r>
        <w:rPr>
          <w:rFonts w:hint="eastAsia"/>
          <w:sz w:val="30"/>
          <w:szCs w:val="30"/>
        </w:rPr>
        <w:t>的解释》第一百十六条第二款之规定，裁定如下：</w:t>
      </w:r>
    </w:p>
    <w:p w:rsidR="00000000" w:rsidRDefault="009008B8">
      <w:pPr>
        <w:spacing w:line="500" w:lineRule="atLeast"/>
        <w:ind w:firstLine="600"/>
        <w:divId w:val="1988047667"/>
        <w:rPr>
          <w:rFonts w:hint="eastAsia"/>
          <w:sz w:val="30"/>
          <w:szCs w:val="30"/>
        </w:rPr>
      </w:pPr>
      <w:r>
        <w:rPr>
          <w:rFonts w:hint="eastAsia"/>
          <w:sz w:val="30"/>
          <w:szCs w:val="30"/>
        </w:rPr>
        <w:t>驳回杨华兰的再审申请。</w:t>
      </w:r>
    </w:p>
    <w:p w:rsidR="00000000" w:rsidRDefault="009008B8">
      <w:pPr>
        <w:spacing w:line="500" w:lineRule="atLeast"/>
        <w:jc w:val="right"/>
        <w:divId w:val="1134373900"/>
        <w:rPr>
          <w:rFonts w:hint="eastAsia"/>
          <w:sz w:val="30"/>
          <w:szCs w:val="30"/>
        </w:rPr>
      </w:pPr>
      <w:r>
        <w:rPr>
          <w:rFonts w:hint="eastAsia"/>
          <w:sz w:val="30"/>
          <w:szCs w:val="30"/>
        </w:rPr>
        <w:t>审判长　　周宏伟</w:t>
      </w:r>
    </w:p>
    <w:p w:rsidR="00000000" w:rsidRDefault="009008B8">
      <w:pPr>
        <w:spacing w:line="500" w:lineRule="atLeast"/>
        <w:jc w:val="right"/>
        <w:divId w:val="1249848438"/>
        <w:rPr>
          <w:rFonts w:hint="eastAsia"/>
          <w:sz w:val="30"/>
          <w:szCs w:val="30"/>
        </w:rPr>
      </w:pPr>
      <w:r>
        <w:rPr>
          <w:rFonts w:hint="eastAsia"/>
          <w:sz w:val="30"/>
          <w:szCs w:val="30"/>
        </w:rPr>
        <w:t>审判员　　肖　宁</w:t>
      </w:r>
    </w:p>
    <w:p w:rsidR="00000000" w:rsidRDefault="009008B8">
      <w:pPr>
        <w:spacing w:line="500" w:lineRule="atLeast"/>
        <w:jc w:val="right"/>
        <w:divId w:val="1169173571"/>
        <w:rPr>
          <w:rFonts w:hint="eastAsia"/>
          <w:sz w:val="30"/>
          <w:szCs w:val="30"/>
        </w:rPr>
      </w:pPr>
      <w:r>
        <w:rPr>
          <w:rFonts w:hint="eastAsia"/>
          <w:sz w:val="30"/>
          <w:szCs w:val="30"/>
        </w:rPr>
        <w:t>审判员　　吴俊海</w:t>
      </w:r>
    </w:p>
    <w:p w:rsidR="00000000" w:rsidRDefault="009008B8">
      <w:pPr>
        <w:spacing w:line="500" w:lineRule="atLeast"/>
        <w:jc w:val="right"/>
        <w:divId w:val="234973227"/>
        <w:rPr>
          <w:rFonts w:hint="eastAsia"/>
          <w:sz w:val="30"/>
          <w:szCs w:val="30"/>
        </w:rPr>
      </w:pPr>
      <w:r>
        <w:rPr>
          <w:rFonts w:hint="eastAsia"/>
          <w:sz w:val="30"/>
          <w:szCs w:val="30"/>
        </w:rPr>
        <w:lastRenderedPageBreak/>
        <w:t>二〇二〇年五月二十六日</w:t>
      </w:r>
    </w:p>
    <w:p w:rsidR="00000000" w:rsidRDefault="009008B8">
      <w:pPr>
        <w:spacing w:line="500" w:lineRule="atLeast"/>
        <w:jc w:val="right"/>
        <w:divId w:val="1564562388"/>
        <w:rPr>
          <w:rFonts w:hint="eastAsia"/>
          <w:sz w:val="30"/>
          <w:szCs w:val="30"/>
        </w:rPr>
      </w:pPr>
      <w:r>
        <w:rPr>
          <w:rFonts w:hint="eastAsia"/>
          <w:sz w:val="30"/>
          <w:szCs w:val="30"/>
        </w:rPr>
        <w:t>书记员　　王　宇</w:t>
      </w:r>
    </w:p>
    <w:p w:rsidR="00000000" w:rsidRDefault="009008B8">
      <w:pPr>
        <w:spacing w:line="500" w:lineRule="atLeast"/>
        <w:ind w:firstLine="600"/>
        <w:divId w:val="340084204"/>
        <w:rPr>
          <w:rFonts w:hint="eastAsia"/>
          <w:sz w:val="30"/>
          <w:szCs w:val="30"/>
        </w:rPr>
      </w:pPr>
      <w:r>
        <w:rPr>
          <w:rFonts w:hint="eastAsia"/>
          <w:sz w:val="30"/>
          <w:szCs w:val="30"/>
        </w:rPr>
        <w:t>附：相关法律条文</w:t>
      </w:r>
    </w:p>
    <w:p w:rsidR="00000000" w:rsidRDefault="009008B8">
      <w:pPr>
        <w:spacing w:line="500" w:lineRule="atLeast"/>
        <w:ind w:firstLine="600"/>
        <w:divId w:val="27462338"/>
        <w:rPr>
          <w:rFonts w:hint="eastAsia"/>
          <w:sz w:val="30"/>
          <w:szCs w:val="30"/>
        </w:rPr>
      </w:pPr>
      <w:r>
        <w:rPr>
          <w:rFonts w:hint="eastAsia"/>
          <w:sz w:val="30"/>
          <w:szCs w:val="30"/>
        </w:rPr>
        <w:t>《中华人民共和国行政诉讼法》</w:t>
      </w:r>
    </w:p>
    <w:p w:rsidR="00000000" w:rsidRDefault="009008B8">
      <w:pPr>
        <w:spacing w:line="500" w:lineRule="atLeast"/>
        <w:ind w:firstLine="600"/>
        <w:divId w:val="1239169563"/>
        <w:rPr>
          <w:rFonts w:hint="eastAsia"/>
          <w:sz w:val="30"/>
          <w:szCs w:val="30"/>
        </w:rPr>
      </w:pPr>
      <w:r>
        <w:rPr>
          <w:rFonts w:hint="eastAsia"/>
          <w:sz w:val="30"/>
          <w:szCs w:val="30"/>
        </w:rPr>
        <w:t>第九十一条当事人的申请符合下列情形之一的，人民法院应当再审：</w:t>
      </w:r>
    </w:p>
    <w:p w:rsidR="00000000" w:rsidRDefault="009008B8">
      <w:pPr>
        <w:spacing w:line="500" w:lineRule="atLeast"/>
        <w:ind w:firstLine="600"/>
        <w:divId w:val="819686518"/>
        <w:rPr>
          <w:rFonts w:hint="eastAsia"/>
          <w:sz w:val="30"/>
          <w:szCs w:val="30"/>
        </w:rPr>
      </w:pPr>
      <w:r>
        <w:rPr>
          <w:rFonts w:hint="eastAsia"/>
          <w:sz w:val="30"/>
          <w:szCs w:val="30"/>
        </w:rPr>
        <w:t>（一）不予立案或者驳回起诉确有错误的；</w:t>
      </w:r>
    </w:p>
    <w:p w:rsidR="00000000" w:rsidRDefault="009008B8">
      <w:pPr>
        <w:spacing w:line="500" w:lineRule="atLeast"/>
        <w:ind w:firstLine="600"/>
        <w:divId w:val="156649446"/>
        <w:rPr>
          <w:rFonts w:hint="eastAsia"/>
          <w:sz w:val="30"/>
          <w:szCs w:val="30"/>
        </w:rPr>
      </w:pPr>
      <w:r>
        <w:rPr>
          <w:rFonts w:hint="eastAsia"/>
          <w:sz w:val="30"/>
          <w:szCs w:val="30"/>
        </w:rPr>
        <w:t>（二）有新的证据，足以推翻原判决、裁定的；</w:t>
      </w:r>
    </w:p>
    <w:p w:rsidR="00000000" w:rsidRDefault="009008B8">
      <w:pPr>
        <w:spacing w:line="500" w:lineRule="atLeast"/>
        <w:ind w:firstLine="600"/>
        <w:divId w:val="1914506552"/>
        <w:rPr>
          <w:rFonts w:hint="eastAsia"/>
          <w:sz w:val="30"/>
          <w:szCs w:val="30"/>
        </w:rPr>
      </w:pPr>
      <w:r>
        <w:rPr>
          <w:rFonts w:hint="eastAsia"/>
          <w:sz w:val="30"/>
          <w:szCs w:val="30"/>
        </w:rPr>
        <w:t>（三）原判决、裁定认定事实的主要证据不足、未经质证或者系伪造的；</w:t>
      </w:r>
    </w:p>
    <w:p w:rsidR="00000000" w:rsidRDefault="009008B8">
      <w:pPr>
        <w:spacing w:line="500" w:lineRule="atLeast"/>
        <w:ind w:firstLine="600"/>
        <w:divId w:val="379477327"/>
        <w:rPr>
          <w:rFonts w:hint="eastAsia"/>
          <w:sz w:val="30"/>
          <w:szCs w:val="30"/>
        </w:rPr>
      </w:pPr>
      <w:r>
        <w:rPr>
          <w:rFonts w:hint="eastAsia"/>
          <w:sz w:val="30"/>
          <w:szCs w:val="30"/>
        </w:rPr>
        <w:t>（四）原判决、裁定适用法律、法规确有错误的；</w:t>
      </w:r>
    </w:p>
    <w:p w:rsidR="00000000" w:rsidRDefault="009008B8">
      <w:pPr>
        <w:spacing w:line="500" w:lineRule="atLeast"/>
        <w:ind w:firstLine="600"/>
        <w:divId w:val="995845169"/>
        <w:rPr>
          <w:rFonts w:hint="eastAsia"/>
          <w:sz w:val="30"/>
          <w:szCs w:val="30"/>
        </w:rPr>
      </w:pPr>
      <w:r>
        <w:rPr>
          <w:rFonts w:hint="eastAsia"/>
          <w:sz w:val="30"/>
          <w:szCs w:val="30"/>
        </w:rPr>
        <w:t>（五）违反法律规定的诉讼程序，可能影响公正审判的；</w:t>
      </w:r>
    </w:p>
    <w:p w:rsidR="00000000" w:rsidRDefault="009008B8">
      <w:pPr>
        <w:spacing w:line="500" w:lineRule="atLeast"/>
        <w:ind w:firstLine="600"/>
        <w:divId w:val="1256479129"/>
        <w:rPr>
          <w:rFonts w:hint="eastAsia"/>
          <w:sz w:val="30"/>
          <w:szCs w:val="30"/>
        </w:rPr>
      </w:pPr>
      <w:r>
        <w:rPr>
          <w:rFonts w:hint="eastAsia"/>
          <w:sz w:val="30"/>
          <w:szCs w:val="30"/>
        </w:rPr>
        <w:t>（六）原判决、裁定遗漏诉讼请求的；</w:t>
      </w:r>
    </w:p>
    <w:p w:rsidR="00000000" w:rsidRDefault="009008B8">
      <w:pPr>
        <w:spacing w:line="500" w:lineRule="atLeast"/>
        <w:ind w:firstLine="600"/>
        <w:divId w:val="1536652681"/>
        <w:rPr>
          <w:rFonts w:hint="eastAsia"/>
          <w:sz w:val="30"/>
          <w:szCs w:val="30"/>
        </w:rPr>
      </w:pPr>
      <w:r>
        <w:rPr>
          <w:rFonts w:hint="eastAsia"/>
          <w:sz w:val="30"/>
          <w:szCs w:val="30"/>
        </w:rPr>
        <w:t>（七）据以作出原判决、裁定的法律文书被撤销或者变更的；</w:t>
      </w:r>
    </w:p>
    <w:p w:rsidR="00000000" w:rsidRDefault="009008B8">
      <w:pPr>
        <w:spacing w:line="500" w:lineRule="atLeast"/>
        <w:ind w:firstLine="600"/>
        <w:divId w:val="852260088"/>
        <w:rPr>
          <w:rFonts w:hint="eastAsia"/>
          <w:sz w:val="30"/>
          <w:szCs w:val="30"/>
        </w:rPr>
      </w:pPr>
      <w:r>
        <w:rPr>
          <w:rFonts w:hint="eastAsia"/>
          <w:sz w:val="30"/>
          <w:szCs w:val="30"/>
        </w:rPr>
        <w:t>（八）审判人员在审理该案件时有贪污受贿、徇私舞弊、枉法裁判行为的。</w:t>
      </w:r>
    </w:p>
    <w:p w:rsidR="00000000" w:rsidRDefault="009008B8">
      <w:pPr>
        <w:spacing w:line="500" w:lineRule="atLeast"/>
        <w:ind w:firstLine="600"/>
        <w:divId w:val="2121759898"/>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9008B8">
      <w:pPr>
        <w:spacing w:line="500" w:lineRule="atLeast"/>
        <w:ind w:firstLine="600"/>
        <w:divId w:val="1531407428"/>
        <w:rPr>
          <w:rFonts w:hint="eastAsia"/>
          <w:sz w:val="30"/>
          <w:szCs w:val="30"/>
        </w:rPr>
      </w:pPr>
      <w:r>
        <w:rPr>
          <w:rFonts w:hint="eastAsia"/>
          <w:sz w:val="30"/>
          <w:szCs w:val="30"/>
        </w:rPr>
        <w:t>第一百一十六条</w:t>
      </w:r>
      <w:r>
        <w:rPr>
          <w:rFonts w:hint="eastAsia"/>
          <w:sz w:val="30"/>
          <w:szCs w:val="30"/>
        </w:rPr>
        <w:t>......</w:t>
      </w:r>
    </w:p>
    <w:p w:rsidR="00000000" w:rsidRDefault="009008B8">
      <w:pPr>
        <w:spacing w:line="500" w:lineRule="atLeast"/>
        <w:ind w:firstLine="600"/>
        <w:divId w:val="206795993"/>
        <w:rPr>
          <w:rFonts w:hint="eastAsia"/>
          <w:sz w:val="30"/>
          <w:szCs w:val="30"/>
        </w:rPr>
      </w:pPr>
      <w:r>
        <w:rPr>
          <w:rFonts w:hint="eastAsia"/>
          <w:sz w:val="30"/>
          <w:szCs w:val="30"/>
        </w:rPr>
        <w:t>当事人主张的再审事由不成立，或者当事人申请再审超过法定申请再审期限、超出法定再审事由范围等不符合行政诉讼法和本解释规定的申请再审条件的，人民法院应当裁定驳回再审申请。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8B8" w:rsidRDefault="009008B8" w:rsidP="009008B8">
      <w:r>
        <w:separator/>
      </w:r>
    </w:p>
  </w:endnote>
  <w:endnote w:type="continuationSeparator" w:id="0">
    <w:p w:rsidR="009008B8" w:rsidRDefault="009008B8" w:rsidP="0090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8B8" w:rsidRDefault="009008B8" w:rsidP="009008B8">
      <w:r>
        <w:separator/>
      </w:r>
    </w:p>
  </w:footnote>
  <w:footnote w:type="continuationSeparator" w:id="0">
    <w:p w:rsidR="009008B8" w:rsidRDefault="009008B8" w:rsidP="009008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008B8"/>
    <w:rsid w:val="00900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008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08B8"/>
    <w:rPr>
      <w:rFonts w:ascii="宋体" w:eastAsia="宋体" w:hAnsi="宋体" w:cs="宋体"/>
      <w:sz w:val="18"/>
      <w:szCs w:val="18"/>
    </w:rPr>
  </w:style>
  <w:style w:type="paragraph" w:styleId="a5">
    <w:name w:val="footer"/>
    <w:basedOn w:val="a"/>
    <w:link w:val="a6"/>
    <w:uiPriority w:val="99"/>
    <w:unhideWhenUsed/>
    <w:rsid w:val="009008B8"/>
    <w:pPr>
      <w:tabs>
        <w:tab w:val="center" w:pos="4153"/>
        <w:tab w:val="right" w:pos="8306"/>
      </w:tabs>
      <w:snapToGrid w:val="0"/>
    </w:pPr>
    <w:rPr>
      <w:sz w:val="18"/>
      <w:szCs w:val="18"/>
    </w:rPr>
  </w:style>
  <w:style w:type="character" w:customStyle="1" w:styleId="a6">
    <w:name w:val="页脚 字符"/>
    <w:basedOn w:val="a0"/>
    <w:link w:val="a5"/>
    <w:uiPriority w:val="99"/>
    <w:rsid w:val="009008B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2338">
      <w:marLeft w:val="0"/>
      <w:marRight w:val="0"/>
      <w:marTop w:val="10"/>
      <w:marBottom w:val="10"/>
      <w:divBdr>
        <w:top w:val="none" w:sz="0" w:space="0" w:color="auto"/>
        <w:left w:val="none" w:sz="0" w:space="0" w:color="auto"/>
        <w:bottom w:val="none" w:sz="0" w:space="0" w:color="auto"/>
        <w:right w:val="none" w:sz="0" w:space="0" w:color="auto"/>
      </w:divBdr>
    </w:div>
    <w:div w:id="121969310">
      <w:marLeft w:val="0"/>
      <w:marRight w:val="0"/>
      <w:marTop w:val="10"/>
      <w:marBottom w:val="10"/>
      <w:divBdr>
        <w:top w:val="none" w:sz="0" w:space="0" w:color="auto"/>
        <w:left w:val="none" w:sz="0" w:space="0" w:color="auto"/>
        <w:bottom w:val="none" w:sz="0" w:space="0" w:color="auto"/>
        <w:right w:val="none" w:sz="0" w:space="0" w:color="auto"/>
      </w:divBdr>
    </w:div>
    <w:div w:id="156649446">
      <w:marLeft w:val="0"/>
      <w:marRight w:val="0"/>
      <w:marTop w:val="10"/>
      <w:marBottom w:val="10"/>
      <w:divBdr>
        <w:top w:val="none" w:sz="0" w:space="0" w:color="auto"/>
        <w:left w:val="none" w:sz="0" w:space="0" w:color="auto"/>
        <w:bottom w:val="none" w:sz="0" w:space="0" w:color="auto"/>
        <w:right w:val="none" w:sz="0" w:space="0" w:color="auto"/>
      </w:divBdr>
    </w:div>
    <w:div w:id="177623937">
      <w:marLeft w:val="0"/>
      <w:marRight w:val="0"/>
      <w:marTop w:val="10"/>
      <w:marBottom w:val="10"/>
      <w:divBdr>
        <w:top w:val="none" w:sz="0" w:space="0" w:color="auto"/>
        <w:left w:val="none" w:sz="0" w:space="0" w:color="auto"/>
        <w:bottom w:val="none" w:sz="0" w:space="0" w:color="auto"/>
        <w:right w:val="none" w:sz="0" w:space="0" w:color="auto"/>
      </w:divBdr>
    </w:div>
    <w:div w:id="206795993">
      <w:marLeft w:val="0"/>
      <w:marRight w:val="0"/>
      <w:marTop w:val="10"/>
      <w:marBottom w:val="10"/>
      <w:divBdr>
        <w:top w:val="none" w:sz="0" w:space="0" w:color="auto"/>
        <w:left w:val="none" w:sz="0" w:space="0" w:color="auto"/>
        <w:bottom w:val="none" w:sz="0" w:space="0" w:color="auto"/>
        <w:right w:val="none" w:sz="0" w:space="0" w:color="auto"/>
      </w:divBdr>
    </w:div>
    <w:div w:id="234973227">
      <w:marLeft w:val="0"/>
      <w:marRight w:val="720"/>
      <w:marTop w:val="10"/>
      <w:marBottom w:val="10"/>
      <w:divBdr>
        <w:top w:val="none" w:sz="0" w:space="0" w:color="auto"/>
        <w:left w:val="none" w:sz="0" w:space="0" w:color="auto"/>
        <w:bottom w:val="none" w:sz="0" w:space="0" w:color="auto"/>
        <w:right w:val="none" w:sz="0" w:space="0" w:color="auto"/>
      </w:divBdr>
    </w:div>
    <w:div w:id="257181703">
      <w:marLeft w:val="0"/>
      <w:marRight w:val="0"/>
      <w:marTop w:val="10"/>
      <w:marBottom w:val="10"/>
      <w:divBdr>
        <w:top w:val="none" w:sz="0" w:space="0" w:color="auto"/>
        <w:left w:val="none" w:sz="0" w:space="0" w:color="auto"/>
        <w:bottom w:val="none" w:sz="0" w:space="0" w:color="auto"/>
        <w:right w:val="none" w:sz="0" w:space="0" w:color="auto"/>
      </w:divBdr>
    </w:div>
    <w:div w:id="287007965">
      <w:marLeft w:val="0"/>
      <w:marRight w:val="0"/>
      <w:marTop w:val="10"/>
      <w:marBottom w:val="10"/>
      <w:divBdr>
        <w:top w:val="none" w:sz="0" w:space="0" w:color="auto"/>
        <w:left w:val="none" w:sz="0" w:space="0" w:color="auto"/>
        <w:bottom w:val="none" w:sz="0" w:space="0" w:color="auto"/>
        <w:right w:val="none" w:sz="0" w:space="0" w:color="auto"/>
      </w:divBdr>
    </w:div>
    <w:div w:id="340084204">
      <w:marLeft w:val="0"/>
      <w:marRight w:val="0"/>
      <w:marTop w:val="10"/>
      <w:marBottom w:val="10"/>
      <w:divBdr>
        <w:top w:val="none" w:sz="0" w:space="0" w:color="auto"/>
        <w:left w:val="none" w:sz="0" w:space="0" w:color="auto"/>
        <w:bottom w:val="none" w:sz="0" w:space="0" w:color="auto"/>
        <w:right w:val="none" w:sz="0" w:space="0" w:color="auto"/>
      </w:divBdr>
    </w:div>
    <w:div w:id="379477327">
      <w:marLeft w:val="0"/>
      <w:marRight w:val="0"/>
      <w:marTop w:val="10"/>
      <w:marBottom w:val="10"/>
      <w:divBdr>
        <w:top w:val="none" w:sz="0" w:space="0" w:color="auto"/>
        <w:left w:val="none" w:sz="0" w:space="0" w:color="auto"/>
        <w:bottom w:val="none" w:sz="0" w:space="0" w:color="auto"/>
        <w:right w:val="none" w:sz="0" w:space="0" w:color="auto"/>
      </w:divBdr>
    </w:div>
    <w:div w:id="474564224">
      <w:marLeft w:val="0"/>
      <w:marRight w:val="0"/>
      <w:marTop w:val="10"/>
      <w:marBottom w:val="10"/>
      <w:divBdr>
        <w:top w:val="none" w:sz="0" w:space="0" w:color="auto"/>
        <w:left w:val="none" w:sz="0" w:space="0" w:color="auto"/>
        <w:bottom w:val="none" w:sz="0" w:space="0" w:color="auto"/>
        <w:right w:val="none" w:sz="0" w:space="0" w:color="auto"/>
      </w:divBdr>
    </w:div>
    <w:div w:id="597174114">
      <w:marLeft w:val="0"/>
      <w:marRight w:val="0"/>
      <w:marTop w:val="10"/>
      <w:marBottom w:val="10"/>
      <w:divBdr>
        <w:top w:val="none" w:sz="0" w:space="0" w:color="auto"/>
        <w:left w:val="none" w:sz="0" w:space="0" w:color="auto"/>
        <w:bottom w:val="none" w:sz="0" w:space="0" w:color="auto"/>
        <w:right w:val="none" w:sz="0" w:space="0" w:color="auto"/>
      </w:divBdr>
    </w:div>
    <w:div w:id="819686518">
      <w:marLeft w:val="0"/>
      <w:marRight w:val="0"/>
      <w:marTop w:val="10"/>
      <w:marBottom w:val="10"/>
      <w:divBdr>
        <w:top w:val="none" w:sz="0" w:space="0" w:color="auto"/>
        <w:left w:val="none" w:sz="0" w:space="0" w:color="auto"/>
        <w:bottom w:val="none" w:sz="0" w:space="0" w:color="auto"/>
        <w:right w:val="none" w:sz="0" w:space="0" w:color="auto"/>
      </w:divBdr>
    </w:div>
    <w:div w:id="852260088">
      <w:marLeft w:val="0"/>
      <w:marRight w:val="0"/>
      <w:marTop w:val="10"/>
      <w:marBottom w:val="10"/>
      <w:divBdr>
        <w:top w:val="none" w:sz="0" w:space="0" w:color="auto"/>
        <w:left w:val="none" w:sz="0" w:space="0" w:color="auto"/>
        <w:bottom w:val="none" w:sz="0" w:space="0" w:color="auto"/>
        <w:right w:val="none" w:sz="0" w:space="0" w:color="auto"/>
      </w:divBdr>
    </w:div>
    <w:div w:id="931161826">
      <w:marLeft w:val="0"/>
      <w:marRight w:val="0"/>
      <w:marTop w:val="10"/>
      <w:marBottom w:val="10"/>
      <w:divBdr>
        <w:top w:val="none" w:sz="0" w:space="0" w:color="auto"/>
        <w:left w:val="none" w:sz="0" w:space="0" w:color="auto"/>
        <w:bottom w:val="none" w:sz="0" w:space="0" w:color="auto"/>
        <w:right w:val="none" w:sz="0" w:space="0" w:color="auto"/>
      </w:divBdr>
    </w:div>
    <w:div w:id="995845169">
      <w:marLeft w:val="0"/>
      <w:marRight w:val="0"/>
      <w:marTop w:val="10"/>
      <w:marBottom w:val="10"/>
      <w:divBdr>
        <w:top w:val="none" w:sz="0" w:space="0" w:color="auto"/>
        <w:left w:val="none" w:sz="0" w:space="0" w:color="auto"/>
        <w:bottom w:val="none" w:sz="0" w:space="0" w:color="auto"/>
        <w:right w:val="none" w:sz="0" w:space="0" w:color="auto"/>
      </w:divBdr>
    </w:div>
    <w:div w:id="1027095655">
      <w:marLeft w:val="0"/>
      <w:marRight w:val="0"/>
      <w:marTop w:val="10"/>
      <w:marBottom w:val="10"/>
      <w:divBdr>
        <w:top w:val="none" w:sz="0" w:space="0" w:color="auto"/>
        <w:left w:val="none" w:sz="0" w:space="0" w:color="auto"/>
        <w:bottom w:val="none" w:sz="0" w:space="0" w:color="auto"/>
        <w:right w:val="none" w:sz="0" w:space="0" w:color="auto"/>
      </w:divBdr>
    </w:div>
    <w:div w:id="1100368836">
      <w:marLeft w:val="0"/>
      <w:marRight w:val="0"/>
      <w:marTop w:val="10"/>
      <w:marBottom w:val="10"/>
      <w:divBdr>
        <w:top w:val="none" w:sz="0" w:space="0" w:color="auto"/>
        <w:left w:val="none" w:sz="0" w:space="0" w:color="auto"/>
        <w:bottom w:val="none" w:sz="0" w:space="0" w:color="auto"/>
        <w:right w:val="none" w:sz="0" w:space="0" w:color="auto"/>
      </w:divBdr>
    </w:div>
    <w:div w:id="1134373900">
      <w:marLeft w:val="0"/>
      <w:marRight w:val="720"/>
      <w:marTop w:val="10"/>
      <w:marBottom w:val="10"/>
      <w:divBdr>
        <w:top w:val="none" w:sz="0" w:space="0" w:color="auto"/>
        <w:left w:val="none" w:sz="0" w:space="0" w:color="auto"/>
        <w:bottom w:val="none" w:sz="0" w:space="0" w:color="auto"/>
        <w:right w:val="none" w:sz="0" w:space="0" w:color="auto"/>
      </w:divBdr>
    </w:div>
    <w:div w:id="1169173571">
      <w:marLeft w:val="0"/>
      <w:marRight w:val="720"/>
      <w:marTop w:val="10"/>
      <w:marBottom w:val="10"/>
      <w:divBdr>
        <w:top w:val="none" w:sz="0" w:space="0" w:color="auto"/>
        <w:left w:val="none" w:sz="0" w:space="0" w:color="auto"/>
        <w:bottom w:val="none" w:sz="0" w:space="0" w:color="auto"/>
        <w:right w:val="none" w:sz="0" w:space="0" w:color="auto"/>
      </w:divBdr>
    </w:div>
    <w:div w:id="1209611895">
      <w:marLeft w:val="0"/>
      <w:marRight w:val="0"/>
      <w:marTop w:val="10"/>
      <w:marBottom w:val="10"/>
      <w:divBdr>
        <w:top w:val="none" w:sz="0" w:space="0" w:color="auto"/>
        <w:left w:val="none" w:sz="0" w:space="0" w:color="auto"/>
        <w:bottom w:val="none" w:sz="0" w:space="0" w:color="auto"/>
        <w:right w:val="none" w:sz="0" w:space="0" w:color="auto"/>
      </w:divBdr>
    </w:div>
    <w:div w:id="1239169563">
      <w:marLeft w:val="0"/>
      <w:marRight w:val="0"/>
      <w:marTop w:val="10"/>
      <w:marBottom w:val="10"/>
      <w:divBdr>
        <w:top w:val="none" w:sz="0" w:space="0" w:color="auto"/>
        <w:left w:val="none" w:sz="0" w:space="0" w:color="auto"/>
        <w:bottom w:val="none" w:sz="0" w:space="0" w:color="auto"/>
        <w:right w:val="none" w:sz="0" w:space="0" w:color="auto"/>
      </w:divBdr>
    </w:div>
    <w:div w:id="1249848438">
      <w:marLeft w:val="0"/>
      <w:marRight w:val="720"/>
      <w:marTop w:val="10"/>
      <w:marBottom w:val="10"/>
      <w:divBdr>
        <w:top w:val="none" w:sz="0" w:space="0" w:color="auto"/>
        <w:left w:val="none" w:sz="0" w:space="0" w:color="auto"/>
        <w:bottom w:val="none" w:sz="0" w:space="0" w:color="auto"/>
        <w:right w:val="none" w:sz="0" w:space="0" w:color="auto"/>
      </w:divBdr>
    </w:div>
    <w:div w:id="1256479129">
      <w:marLeft w:val="0"/>
      <w:marRight w:val="0"/>
      <w:marTop w:val="10"/>
      <w:marBottom w:val="10"/>
      <w:divBdr>
        <w:top w:val="none" w:sz="0" w:space="0" w:color="auto"/>
        <w:left w:val="none" w:sz="0" w:space="0" w:color="auto"/>
        <w:bottom w:val="none" w:sz="0" w:space="0" w:color="auto"/>
        <w:right w:val="none" w:sz="0" w:space="0" w:color="auto"/>
      </w:divBdr>
    </w:div>
    <w:div w:id="1296637901">
      <w:marLeft w:val="0"/>
      <w:marRight w:val="0"/>
      <w:marTop w:val="10"/>
      <w:marBottom w:val="10"/>
      <w:divBdr>
        <w:top w:val="none" w:sz="0" w:space="0" w:color="auto"/>
        <w:left w:val="none" w:sz="0" w:space="0" w:color="auto"/>
        <w:bottom w:val="none" w:sz="0" w:space="0" w:color="auto"/>
        <w:right w:val="none" w:sz="0" w:space="0" w:color="auto"/>
      </w:divBdr>
    </w:div>
    <w:div w:id="1531407428">
      <w:marLeft w:val="0"/>
      <w:marRight w:val="0"/>
      <w:marTop w:val="10"/>
      <w:marBottom w:val="10"/>
      <w:divBdr>
        <w:top w:val="none" w:sz="0" w:space="0" w:color="auto"/>
        <w:left w:val="none" w:sz="0" w:space="0" w:color="auto"/>
        <w:bottom w:val="none" w:sz="0" w:space="0" w:color="auto"/>
        <w:right w:val="none" w:sz="0" w:space="0" w:color="auto"/>
      </w:divBdr>
    </w:div>
    <w:div w:id="1536652681">
      <w:marLeft w:val="0"/>
      <w:marRight w:val="0"/>
      <w:marTop w:val="10"/>
      <w:marBottom w:val="10"/>
      <w:divBdr>
        <w:top w:val="none" w:sz="0" w:space="0" w:color="auto"/>
        <w:left w:val="none" w:sz="0" w:space="0" w:color="auto"/>
        <w:bottom w:val="none" w:sz="0" w:space="0" w:color="auto"/>
        <w:right w:val="none" w:sz="0" w:space="0" w:color="auto"/>
      </w:divBdr>
    </w:div>
    <w:div w:id="1564562388">
      <w:marLeft w:val="0"/>
      <w:marRight w:val="720"/>
      <w:marTop w:val="10"/>
      <w:marBottom w:val="10"/>
      <w:divBdr>
        <w:top w:val="none" w:sz="0" w:space="0" w:color="auto"/>
        <w:left w:val="none" w:sz="0" w:space="0" w:color="auto"/>
        <w:bottom w:val="none" w:sz="0" w:space="0" w:color="auto"/>
        <w:right w:val="none" w:sz="0" w:space="0" w:color="auto"/>
      </w:divBdr>
    </w:div>
    <w:div w:id="1680423000">
      <w:marLeft w:val="0"/>
      <w:marRight w:val="0"/>
      <w:marTop w:val="10"/>
      <w:marBottom w:val="10"/>
      <w:divBdr>
        <w:top w:val="none" w:sz="0" w:space="0" w:color="auto"/>
        <w:left w:val="none" w:sz="0" w:space="0" w:color="auto"/>
        <w:bottom w:val="none" w:sz="0" w:space="0" w:color="auto"/>
        <w:right w:val="none" w:sz="0" w:space="0" w:color="auto"/>
      </w:divBdr>
    </w:div>
    <w:div w:id="1914506552">
      <w:marLeft w:val="0"/>
      <w:marRight w:val="0"/>
      <w:marTop w:val="10"/>
      <w:marBottom w:val="10"/>
      <w:divBdr>
        <w:top w:val="none" w:sz="0" w:space="0" w:color="auto"/>
        <w:left w:val="none" w:sz="0" w:space="0" w:color="auto"/>
        <w:bottom w:val="none" w:sz="0" w:space="0" w:color="auto"/>
        <w:right w:val="none" w:sz="0" w:space="0" w:color="auto"/>
      </w:divBdr>
    </w:div>
    <w:div w:id="1988047667">
      <w:marLeft w:val="0"/>
      <w:marRight w:val="0"/>
      <w:marTop w:val="10"/>
      <w:marBottom w:val="10"/>
      <w:divBdr>
        <w:top w:val="none" w:sz="0" w:space="0" w:color="auto"/>
        <w:left w:val="none" w:sz="0" w:space="0" w:color="auto"/>
        <w:bottom w:val="none" w:sz="0" w:space="0" w:color="auto"/>
        <w:right w:val="none" w:sz="0" w:space="0" w:color="auto"/>
      </w:divBdr>
    </w:div>
    <w:div w:id="21217598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