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86C1D">
      <w:pPr>
        <w:spacing w:line="500" w:lineRule="atLeast"/>
        <w:jc w:val="center"/>
        <w:divId w:val="1629890803"/>
        <w:rPr>
          <w:rFonts w:ascii="黑体" w:eastAsia="黑体" w:hAnsi="黑体"/>
          <w:sz w:val="36"/>
          <w:szCs w:val="36"/>
        </w:rPr>
      </w:pPr>
      <w:bookmarkStart w:id="0" w:name="_GoBack"/>
      <w:bookmarkEnd w:id="0"/>
      <w:r>
        <w:rPr>
          <w:rFonts w:ascii="黑体" w:eastAsia="黑体" w:hAnsi="黑体" w:hint="eastAsia"/>
          <w:sz w:val="36"/>
          <w:szCs w:val="36"/>
        </w:rPr>
        <w:t>湖南省高级人民法院</w:t>
      </w:r>
    </w:p>
    <w:p w:rsidR="00000000" w:rsidRDefault="00F86C1D">
      <w:pPr>
        <w:spacing w:line="500" w:lineRule="atLeast"/>
        <w:jc w:val="center"/>
        <w:divId w:val="110169370"/>
        <w:rPr>
          <w:rFonts w:ascii="黑体" w:eastAsia="黑体" w:hAnsi="黑体" w:hint="eastAsia"/>
          <w:sz w:val="36"/>
          <w:szCs w:val="36"/>
        </w:rPr>
      </w:pPr>
      <w:r>
        <w:rPr>
          <w:rFonts w:ascii="黑体" w:eastAsia="黑体" w:hAnsi="黑体" w:hint="eastAsia"/>
          <w:sz w:val="36"/>
          <w:szCs w:val="36"/>
        </w:rPr>
        <w:t>行</w:t>
      </w:r>
      <w:r>
        <w:rPr>
          <w:rFonts w:ascii="黑体" w:eastAsia="黑体" w:hAnsi="黑体" w:hint="eastAsia"/>
          <w:sz w:val="36"/>
          <w:szCs w:val="36"/>
        </w:rPr>
        <w:t xml:space="preserve"> </w:t>
      </w:r>
      <w:r>
        <w:rPr>
          <w:rFonts w:ascii="黑体" w:eastAsia="黑体" w:hAnsi="黑体" w:hint="eastAsia"/>
          <w:sz w:val="36"/>
          <w:szCs w:val="36"/>
        </w:rPr>
        <w:t>政</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86C1D">
      <w:pPr>
        <w:spacing w:line="500" w:lineRule="atLeast"/>
        <w:jc w:val="right"/>
        <w:divId w:val="812716627"/>
        <w:rPr>
          <w:rFonts w:hint="eastAsia"/>
          <w:sz w:val="30"/>
          <w:szCs w:val="30"/>
        </w:rPr>
      </w:pPr>
      <w:r>
        <w:rPr>
          <w:rFonts w:hint="eastAsia"/>
          <w:sz w:val="30"/>
          <w:szCs w:val="30"/>
        </w:rPr>
        <w:t>（</w:t>
      </w:r>
      <w:r>
        <w:rPr>
          <w:rFonts w:hint="eastAsia"/>
          <w:sz w:val="30"/>
          <w:szCs w:val="30"/>
        </w:rPr>
        <w:t>2020</w:t>
      </w:r>
      <w:r>
        <w:rPr>
          <w:rFonts w:hint="eastAsia"/>
          <w:sz w:val="30"/>
          <w:szCs w:val="30"/>
        </w:rPr>
        <w:t>）湘行申</w:t>
      </w:r>
      <w:r>
        <w:rPr>
          <w:rFonts w:hint="eastAsia"/>
          <w:sz w:val="30"/>
          <w:szCs w:val="30"/>
        </w:rPr>
        <w:t>1039</w:t>
      </w:r>
      <w:r>
        <w:rPr>
          <w:rFonts w:hint="eastAsia"/>
          <w:sz w:val="30"/>
          <w:szCs w:val="30"/>
        </w:rPr>
        <w:t>号</w:t>
      </w:r>
    </w:p>
    <w:p w:rsidR="00000000" w:rsidRDefault="00F86C1D">
      <w:pPr>
        <w:spacing w:line="500" w:lineRule="atLeast"/>
        <w:ind w:firstLine="600"/>
        <w:divId w:val="359087359"/>
        <w:rPr>
          <w:rFonts w:hint="eastAsia"/>
          <w:sz w:val="30"/>
          <w:szCs w:val="30"/>
        </w:rPr>
      </w:pPr>
      <w:r>
        <w:rPr>
          <w:rFonts w:hint="eastAsia"/>
          <w:sz w:val="30"/>
          <w:szCs w:val="30"/>
        </w:rPr>
        <w:t>再审申请人（一审原告、二审上诉人）杨洪潮，男，</w:t>
      </w:r>
      <w:r>
        <w:rPr>
          <w:rFonts w:hint="eastAsia"/>
          <w:sz w:val="30"/>
          <w:szCs w:val="30"/>
        </w:rPr>
        <w:t>1956</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日出生，汉族，住长沙市芙蓉区。</w:t>
      </w:r>
    </w:p>
    <w:p w:rsidR="00000000" w:rsidRDefault="00F86C1D">
      <w:pPr>
        <w:spacing w:line="500" w:lineRule="atLeast"/>
        <w:ind w:firstLine="600"/>
        <w:divId w:val="609708408"/>
        <w:rPr>
          <w:rFonts w:hint="eastAsia"/>
          <w:sz w:val="30"/>
          <w:szCs w:val="30"/>
        </w:rPr>
      </w:pPr>
      <w:r>
        <w:rPr>
          <w:rFonts w:hint="eastAsia"/>
          <w:sz w:val="30"/>
          <w:szCs w:val="30"/>
        </w:rPr>
        <w:t>被申请人（一审被告、二审被上诉人）长沙市卫生健康委员会。住所地长沙市岳麓区岳麓大道</w:t>
      </w:r>
      <w:r>
        <w:rPr>
          <w:rFonts w:hint="eastAsia"/>
          <w:sz w:val="30"/>
          <w:szCs w:val="30"/>
        </w:rPr>
        <w:t>218</w:t>
      </w:r>
      <w:r>
        <w:rPr>
          <w:rFonts w:hint="eastAsia"/>
          <w:sz w:val="30"/>
          <w:szCs w:val="30"/>
        </w:rPr>
        <w:t>号市政府一号办公楼</w:t>
      </w:r>
      <w:r>
        <w:rPr>
          <w:rFonts w:hint="eastAsia"/>
          <w:sz w:val="30"/>
          <w:szCs w:val="30"/>
        </w:rPr>
        <w:t>6</w:t>
      </w:r>
      <w:r>
        <w:rPr>
          <w:rFonts w:hint="eastAsia"/>
          <w:sz w:val="30"/>
          <w:szCs w:val="30"/>
        </w:rPr>
        <w:t>楼。</w:t>
      </w:r>
    </w:p>
    <w:p w:rsidR="00000000" w:rsidRDefault="00F86C1D">
      <w:pPr>
        <w:spacing w:line="500" w:lineRule="atLeast"/>
        <w:ind w:firstLine="600"/>
        <w:divId w:val="1111163080"/>
        <w:rPr>
          <w:rFonts w:hint="eastAsia"/>
          <w:sz w:val="30"/>
          <w:szCs w:val="30"/>
        </w:rPr>
      </w:pPr>
      <w:r>
        <w:rPr>
          <w:rFonts w:hint="eastAsia"/>
          <w:sz w:val="30"/>
          <w:szCs w:val="30"/>
        </w:rPr>
        <w:t>法定代表人周敏，该委员会主任。</w:t>
      </w:r>
    </w:p>
    <w:p w:rsidR="00000000" w:rsidRDefault="00F86C1D">
      <w:pPr>
        <w:spacing w:line="500" w:lineRule="atLeast"/>
        <w:ind w:firstLine="600"/>
        <w:divId w:val="38894904"/>
        <w:rPr>
          <w:rFonts w:hint="eastAsia"/>
          <w:sz w:val="30"/>
          <w:szCs w:val="30"/>
        </w:rPr>
      </w:pPr>
      <w:r>
        <w:rPr>
          <w:rFonts w:hint="eastAsia"/>
          <w:sz w:val="30"/>
          <w:szCs w:val="30"/>
        </w:rPr>
        <w:t>再审申请人杨洪潮因与被申请人长沙市卫生健康委员会不履行法定职责一案，不服湖南省长沙市中级人民法院（</w:t>
      </w:r>
      <w:r>
        <w:rPr>
          <w:rFonts w:hint="eastAsia"/>
          <w:sz w:val="30"/>
          <w:szCs w:val="30"/>
        </w:rPr>
        <w:t>2020</w:t>
      </w:r>
      <w:r>
        <w:rPr>
          <w:rFonts w:hint="eastAsia"/>
          <w:sz w:val="30"/>
          <w:szCs w:val="30"/>
        </w:rPr>
        <w:t>）湘</w:t>
      </w:r>
      <w:r>
        <w:rPr>
          <w:rFonts w:hint="eastAsia"/>
          <w:sz w:val="30"/>
          <w:szCs w:val="30"/>
        </w:rPr>
        <w:t>01</w:t>
      </w:r>
      <w:r>
        <w:rPr>
          <w:rFonts w:hint="eastAsia"/>
          <w:sz w:val="30"/>
          <w:szCs w:val="30"/>
        </w:rPr>
        <w:t>行终</w:t>
      </w:r>
      <w:r>
        <w:rPr>
          <w:rFonts w:hint="eastAsia"/>
          <w:sz w:val="30"/>
          <w:szCs w:val="30"/>
        </w:rPr>
        <w:t>613</w:t>
      </w:r>
      <w:r>
        <w:rPr>
          <w:rFonts w:hint="eastAsia"/>
          <w:sz w:val="30"/>
          <w:szCs w:val="30"/>
        </w:rPr>
        <w:t>号行政裁定，向本院申请再审。本院受理后，依法组成合议庭对本案进行了审查，现已审查终结。</w:t>
      </w:r>
    </w:p>
    <w:p w:rsidR="00000000" w:rsidRDefault="00F86C1D">
      <w:pPr>
        <w:spacing w:line="500" w:lineRule="atLeast"/>
        <w:ind w:firstLine="600"/>
        <w:divId w:val="1851530955"/>
        <w:rPr>
          <w:rFonts w:hint="eastAsia"/>
          <w:sz w:val="30"/>
          <w:szCs w:val="30"/>
        </w:rPr>
      </w:pPr>
      <w:r>
        <w:rPr>
          <w:rFonts w:hint="eastAsia"/>
          <w:sz w:val="30"/>
          <w:szCs w:val="30"/>
        </w:rPr>
        <w:t>杨洪潮申请再审称：二审裁定不准确认定事实，并且混淆事实，牵强附会，轻慢法律，随意剥夺申请人的诉权，驳回申请人的起诉有严重错误。请求依法再审。</w:t>
      </w:r>
    </w:p>
    <w:p w:rsidR="00000000" w:rsidRDefault="00F86C1D">
      <w:pPr>
        <w:spacing w:line="500" w:lineRule="atLeast"/>
        <w:ind w:firstLine="600"/>
        <w:divId w:val="1530754145"/>
        <w:rPr>
          <w:rFonts w:hint="eastAsia"/>
          <w:sz w:val="30"/>
          <w:szCs w:val="30"/>
        </w:rPr>
      </w:pPr>
      <w:r>
        <w:rPr>
          <w:rFonts w:hint="eastAsia"/>
          <w:sz w:val="30"/>
          <w:szCs w:val="30"/>
        </w:rPr>
        <w:t>本院认为，申请人起诉请求法院</w:t>
      </w:r>
      <w:r>
        <w:rPr>
          <w:rFonts w:hint="eastAsia"/>
          <w:sz w:val="30"/>
          <w:szCs w:val="30"/>
        </w:rPr>
        <w:t>:1.</w:t>
      </w:r>
      <w:r>
        <w:rPr>
          <w:rFonts w:hint="eastAsia"/>
          <w:sz w:val="30"/>
          <w:szCs w:val="30"/>
        </w:rPr>
        <w:t>责令被告根据《医疗事故处理条例》第四十一条、第四十二条之规定，审查长沙医鉴</w:t>
      </w:r>
      <w:r>
        <w:rPr>
          <w:rFonts w:hint="eastAsia"/>
          <w:sz w:val="30"/>
          <w:szCs w:val="30"/>
        </w:rPr>
        <w:t>[2018]043</w:t>
      </w:r>
      <w:r>
        <w:rPr>
          <w:rFonts w:hint="eastAsia"/>
          <w:sz w:val="30"/>
          <w:szCs w:val="30"/>
        </w:rPr>
        <w:t>号鉴定书，并督促长沙市医学会重新</w:t>
      </w:r>
      <w:r>
        <w:rPr>
          <w:rFonts w:hint="eastAsia"/>
          <w:sz w:val="30"/>
          <w:szCs w:val="30"/>
        </w:rPr>
        <w:t>鉴定；</w:t>
      </w:r>
      <w:r>
        <w:rPr>
          <w:rFonts w:hint="eastAsia"/>
          <w:sz w:val="30"/>
          <w:szCs w:val="30"/>
        </w:rPr>
        <w:t>2.</w:t>
      </w:r>
      <w:r>
        <w:rPr>
          <w:rFonts w:hint="eastAsia"/>
          <w:sz w:val="30"/>
          <w:szCs w:val="30"/>
        </w:rPr>
        <w:t>责令被告履行职责，审查仁和医院病历，查明相关人员是否涉嫌医疗事故罪，并移送公安机关侦查。经查，本案系请求被告履行法定职责之诉，根据《最高人民法院关于适</w:t>
      </w:r>
      <w:r>
        <w:rPr>
          <w:rFonts w:hint="eastAsia"/>
          <w:sz w:val="30"/>
          <w:szCs w:val="30"/>
        </w:rPr>
        <w:t>用</w:t>
      </w:r>
      <w:r>
        <w:rPr>
          <w:rFonts w:hint="eastAsia"/>
          <w:sz w:val="30"/>
          <w:szCs w:val="30"/>
        </w:rPr>
        <w:t>的解释》第九十三条第一款的规定，申请人应先向被申请人提出履职申请。经审查本案证据，对于第一条诉请，申请人杨洪潮并未就此事向被申请人长沙市卫健委提出过申请，依法应予驳回起诉。对于第二条关于“审查仁和医院病历，查明相关人员是否涉嫌医疗事故罪，并移送公安机关侦查”的诉请。根据本案查明的事</w:t>
      </w:r>
      <w:r>
        <w:rPr>
          <w:rFonts w:hint="eastAsia"/>
          <w:sz w:val="30"/>
          <w:szCs w:val="30"/>
        </w:rPr>
        <w:lastRenderedPageBreak/>
        <w:t>实，</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12</w:t>
      </w:r>
      <w:r>
        <w:rPr>
          <w:rFonts w:hint="eastAsia"/>
          <w:sz w:val="30"/>
          <w:szCs w:val="30"/>
        </w:rPr>
        <w:t>日长沙市医学会对杨静远医疗事故争议进行技术鉴</w:t>
      </w:r>
      <w:r>
        <w:rPr>
          <w:rFonts w:hint="eastAsia"/>
          <w:sz w:val="30"/>
          <w:szCs w:val="30"/>
        </w:rPr>
        <w:t>定，并出具长沙医鉴</w:t>
      </w:r>
      <w:r>
        <w:rPr>
          <w:rFonts w:hint="eastAsia"/>
          <w:sz w:val="30"/>
          <w:szCs w:val="30"/>
        </w:rPr>
        <w:t>[2018]043</w:t>
      </w:r>
      <w:r>
        <w:rPr>
          <w:rFonts w:hint="eastAsia"/>
          <w:sz w:val="30"/>
          <w:szCs w:val="30"/>
        </w:rPr>
        <w:t>号《医疗事故技术鉴定书》，分析意见</w:t>
      </w:r>
      <w:r>
        <w:rPr>
          <w:rFonts w:hint="eastAsia"/>
          <w:sz w:val="30"/>
          <w:szCs w:val="30"/>
        </w:rPr>
        <w:t>1</w:t>
      </w:r>
      <w:r>
        <w:rPr>
          <w:rFonts w:hint="eastAsia"/>
          <w:sz w:val="30"/>
          <w:szCs w:val="30"/>
        </w:rPr>
        <w:t>为：患方对病历的真实性存在很大争议，专家组无法认定病历真假。结论为：不能定性。对该鉴定书申请人并未提出异议，亦未委托湖南省医学会再次鉴定。故被申请人于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日作出的《关于杨洪</w:t>
      </w:r>
      <w:r>
        <w:rPr>
          <w:rFonts w:hint="eastAsia"/>
          <w:sz w:val="30"/>
          <w:szCs w:val="30"/>
        </w:rPr>
        <w:t>潮</w:t>
      </w:r>
      <w:r>
        <w:rPr>
          <w:rFonts w:hint="eastAsia"/>
          <w:sz w:val="30"/>
          <w:szCs w:val="30"/>
        </w:rPr>
        <w:t>信访事项的答复意见书》，根据《医疗事故技术鉴定书》的分析意见和结论对于病历问题及移送公安机关问题作出的答复符合法律规定，被申请人已经依法履行了职责，申请人的诉请无事实和法律依据，本院不予支持。本案应对申请人起诉的第一项诉请驳回起诉，对第二项诉请驳回诉讼请</w:t>
      </w:r>
      <w:r>
        <w:rPr>
          <w:rFonts w:hint="eastAsia"/>
          <w:sz w:val="30"/>
          <w:szCs w:val="30"/>
        </w:rPr>
        <w:t>求。应予指出的是，本案被申请人于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日作出的《关于杨洪</w:t>
      </w:r>
      <w:r>
        <w:rPr>
          <w:rFonts w:hint="eastAsia"/>
          <w:sz w:val="30"/>
          <w:szCs w:val="30"/>
        </w:rPr>
        <w:t>潮</w:t>
      </w:r>
      <w:r>
        <w:rPr>
          <w:rFonts w:hint="eastAsia"/>
          <w:sz w:val="30"/>
          <w:szCs w:val="30"/>
        </w:rPr>
        <w:t>信访事项的答复意见书》与之前对申请人作出的《回复》及《答复意见》的依据及内容并不一致，不属于重复处理行为，二审认定申请人于</w:t>
      </w:r>
      <w:r>
        <w:rPr>
          <w:rFonts w:hint="eastAsia"/>
          <w:sz w:val="30"/>
          <w:szCs w:val="30"/>
        </w:rPr>
        <w:t>2020</w:t>
      </w:r>
      <w:r>
        <w:rPr>
          <w:rFonts w:hint="eastAsia"/>
          <w:sz w:val="30"/>
          <w:szCs w:val="30"/>
        </w:rPr>
        <w:t>年起诉超过法定起诉期限，裁定驳回该项起诉不当。但若因此进入再审，结果亦不能支持当事人诉请，对当事人来说徒增诉累，故本案无再审必要。</w:t>
      </w:r>
    </w:p>
    <w:p w:rsidR="00000000" w:rsidRDefault="00F86C1D">
      <w:pPr>
        <w:spacing w:line="500" w:lineRule="atLeast"/>
        <w:ind w:firstLine="600"/>
        <w:divId w:val="1209299986"/>
        <w:rPr>
          <w:rFonts w:hint="eastAsia"/>
          <w:sz w:val="30"/>
          <w:szCs w:val="30"/>
        </w:rPr>
      </w:pPr>
      <w:r>
        <w:rPr>
          <w:rFonts w:hint="eastAsia"/>
          <w:sz w:val="30"/>
          <w:szCs w:val="30"/>
        </w:rPr>
        <w:t>综上，申请人的再审申请不符合《中华人民共和国行政诉讼法》第九十一条规定的情形。依照《最高人民法院关于适</w:t>
      </w:r>
      <w:r>
        <w:rPr>
          <w:rFonts w:hint="eastAsia"/>
          <w:sz w:val="30"/>
          <w:szCs w:val="30"/>
        </w:rPr>
        <w:t>用</w:t>
      </w:r>
      <w:r>
        <w:rPr>
          <w:rFonts w:hint="eastAsia"/>
          <w:sz w:val="30"/>
          <w:szCs w:val="30"/>
        </w:rPr>
        <w:t>的解释》第一百一十六条第二款之规定，裁定如下：</w:t>
      </w:r>
    </w:p>
    <w:p w:rsidR="00000000" w:rsidRDefault="00F86C1D">
      <w:pPr>
        <w:spacing w:line="500" w:lineRule="atLeast"/>
        <w:ind w:firstLine="600"/>
        <w:divId w:val="1956134620"/>
        <w:rPr>
          <w:rFonts w:hint="eastAsia"/>
          <w:sz w:val="30"/>
          <w:szCs w:val="30"/>
        </w:rPr>
      </w:pPr>
      <w:r>
        <w:rPr>
          <w:rFonts w:hint="eastAsia"/>
          <w:sz w:val="30"/>
          <w:szCs w:val="30"/>
        </w:rPr>
        <w:t>驳回杨洪潮的再审申请。</w:t>
      </w:r>
    </w:p>
    <w:p w:rsidR="00000000" w:rsidRDefault="00F86C1D">
      <w:pPr>
        <w:spacing w:line="500" w:lineRule="atLeast"/>
        <w:jc w:val="right"/>
        <w:divId w:val="677659359"/>
        <w:rPr>
          <w:rFonts w:hint="eastAsia"/>
          <w:sz w:val="30"/>
          <w:szCs w:val="30"/>
        </w:rPr>
      </w:pPr>
      <w:r>
        <w:rPr>
          <w:rFonts w:hint="eastAsia"/>
          <w:sz w:val="30"/>
          <w:szCs w:val="30"/>
        </w:rPr>
        <w:t>审判长</w:t>
      </w:r>
      <w:r>
        <w:rPr>
          <w:rFonts w:hint="eastAsia"/>
          <w:sz w:val="30"/>
          <w:szCs w:val="30"/>
        </w:rPr>
        <w:t xml:space="preserve">　王　慧</w:t>
      </w:r>
    </w:p>
    <w:p w:rsidR="00000000" w:rsidRDefault="00F86C1D">
      <w:pPr>
        <w:spacing w:line="500" w:lineRule="atLeast"/>
        <w:jc w:val="right"/>
        <w:divId w:val="330840505"/>
        <w:rPr>
          <w:rFonts w:hint="eastAsia"/>
          <w:sz w:val="30"/>
          <w:szCs w:val="30"/>
        </w:rPr>
      </w:pPr>
      <w:r>
        <w:rPr>
          <w:rFonts w:hint="eastAsia"/>
          <w:sz w:val="30"/>
          <w:szCs w:val="30"/>
        </w:rPr>
        <w:t>审判员　梁淑芳</w:t>
      </w:r>
    </w:p>
    <w:p w:rsidR="00000000" w:rsidRDefault="00F86C1D">
      <w:pPr>
        <w:spacing w:line="500" w:lineRule="atLeast"/>
        <w:jc w:val="right"/>
        <w:divId w:val="1979409962"/>
        <w:rPr>
          <w:rFonts w:hint="eastAsia"/>
          <w:sz w:val="30"/>
          <w:szCs w:val="30"/>
        </w:rPr>
      </w:pPr>
      <w:r>
        <w:rPr>
          <w:rFonts w:hint="eastAsia"/>
          <w:sz w:val="30"/>
          <w:szCs w:val="30"/>
        </w:rPr>
        <w:t>审判员　王　帅</w:t>
      </w:r>
    </w:p>
    <w:p w:rsidR="00000000" w:rsidRDefault="00F86C1D">
      <w:pPr>
        <w:spacing w:line="500" w:lineRule="atLeast"/>
        <w:jc w:val="right"/>
        <w:divId w:val="1872959166"/>
        <w:rPr>
          <w:rFonts w:hint="eastAsia"/>
          <w:sz w:val="30"/>
          <w:szCs w:val="30"/>
        </w:rPr>
      </w:pPr>
      <w:r>
        <w:rPr>
          <w:rFonts w:hint="eastAsia"/>
          <w:sz w:val="30"/>
          <w:szCs w:val="30"/>
        </w:rPr>
        <w:t>二〇二〇年十二月十四日</w:t>
      </w:r>
    </w:p>
    <w:p w:rsidR="00000000" w:rsidRDefault="00F86C1D">
      <w:pPr>
        <w:spacing w:line="500" w:lineRule="atLeast"/>
        <w:jc w:val="right"/>
        <w:divId w:val="1953439103"/>
        <w:rPr>
          <w:rFonts w:hint="eastAsia"/>
          <w:sz w:val="30"/>
          <w:szCs w:val="30"/>
        </w:rPr>
      </w:pPr>
      <w:r>
        <w:rPr>
          <w:rFonts w:hint="eastAsia"/>
          <w:sz w:val="30"/>
          <w:szCs w:val="30"/>
        </w:rPr>
        <w:t>书记员　黄　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C1D" w:rsidRDefault="00F86C1D" w:rsidP="00F86C1D">
      <w:r>
        <w:separator/>
      </w:r>
    </w:p>
  </w:endnote>
  <w:endnote w:type="continuationSeparator" w:id="0">
    <w:p w:rsidR="00F86C1D" w:rsidRDefault="00F86C1D" w:rsidP="00F86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C1D" w:rsidRDefault="00F86C1D" w:rsidP="00F86C1D">
      <w:r>
        <w:separator/>
      </w:r>
    </w:p>
  </w:footnote>
  <w:footnote w:type="continuationSeparator" w:id="0">
    <w:p w:rsidR="00F86C1D" w:rsidRDefault="00F86C1D" w:rsidP="00F86C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86C1D"/>
    <w:rsid w:val="00F86C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86C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6C1D"/>
    <w:rPr>
      <w:rFonts w:ascii="宋体" w:eastAsia="宋体" w:hAnsi="宋体" w:cs="宋体"/>
      <w:sz w:val="18"/>
      <w:szCs w:val="18"/>
    </w:rPr>
  </w:style>
  <w:style w:type="paragraph" w:styleId="a5">
    <w:name w:val="footer"/>
    <w:basedOn w:val="a"/>
    <w:link w:val="a6"/>
    <w:uiPriority w:val="99"/>
    <w:unhideWhenUsed/>
    <w:rsid w:val="00F86C1D"/>
    <w:pPr>
      <w:tabs>
        <w:tab w:val="center" w:pos="4153"/>
        <w:tab w:val="right" w:pos="8306"/>
      </w:tabs>
      <w:snapToGrid w:val="0"/>
    </w:pPr>
    <w:rPr>
      <w:sz w:val="18"/>
      <w:szCs w:val="18"/>
    </w:rPr>
  </w:style>
  <w:style w:type="character" w:customStyle="1" w:styleId="a6">
    <w:name w:val="页脚 字符"/>
    <w:basedOn w:val="a0"/>
    <w:link w:val="a5"/>
    <w:uiPriority w:val="99"/>
    <w:rsid w:val="00F86C1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4904">
      <w:marLeft w:val="0"/>
      <w:marRight w:val="0"/>
      <w:marTop w:val="10"/>
      <w:marBottom w:val="10"/>
      <w:divBdr>
        <w:top w:val="none" w:sz="0" w:space="0" w:color="auto"/>
        <w:left w:val="none" w:sz="0" w:space="0" w:color="auto"/>
        <w:bottom w:val="none" w:sz="0" w:space="0" w:color="auto"/>
        <w:right w:val="none" w:sz="0" w:space="0" w:color="auto"/>
      </w:divBdr>
    </w:div>
    <w:div w:id="110169370">
      <w:marLeft w:val="0"/>
      <w:marRight w:val="0"/>
      <w:marTop w:val="10"/>
      <w:marBottom w:val="10"/>
      <w:divBdr>
        <w:top w:val="none" w:sz="0" w:space="0" w:color="auto"/>
        <w:left w:val="none" w:sz="0" w:space="0" w:color="auto"/>
        <w:bottom w:val="none" w:sz="0" w:space="0" w:color="auto"/>
        <w:right w:val="none" w:sz="0" w:space="0" w:color="auto"/>
      </w:divBdr>
    </w:div>
    <w:div w:id="330840505">
      <w:marLeft w:val="0"/>
      <w:marRight w:val="720"/>
      <w:marTop w:val="10"/>
      <w:marBottom w:val="10"/>
      <w:divBdr>
        <w:top w:val="none" w:sz="0" w:space="0" w:color="auto"/>
        <w:left w:val="none" w:sz="0" w:space="0" w:color="auto"/>
        <w:bottom w:val="none" w:sz="0" w:space="0" w:color="auto"/>
        <w:right w:val="none" w:sz="0" w:space="0" w:color="auto"/>
      </w:divBdr>
    </w:div>
    <w:div w:id="359087359">
      <w:marLeft w:val="0"/>
      <w:marRight w:val="0"/>
      <w:marTop w:val="10"/>
      <w:marBottom w:val="10"/>
      <w:divBdr>
        <w:top w:val="none" w:sz="0" w:space="0" w:color="auto"/>
        <w:left w:val="none" w:sz="0" w:space="0" w:color="auto"/>
        <w:bottom w:val="none" w:sz="0" w:space="0" w:color="auto"/>
        <w:right w:val="none" w:sz="0" w:space="0" w:color="auto"/>
      </w:divBdr>
    </w:div>
    <w:div w:id="609708408">
      <w:marLeft w:val="0"/>
      <w:marRight w:val="0"/>
      <w:marTop w:val="10"/>
      <w:marBottom w:val="10"/>
      <w:divBdr>
        <w:top w:val="none" w:sz="0" w:space="0" w:color="auto"/>
        <w:left w:val="none" w:sz="0" w:space="0" w:color="auto"/>
        <w:bottom w:val="none" w:sz="0" w:space="0" w:color="auto"/>
        <w:right w:val="none" w:sz="0" w:space="0" w:color="auto"/>
      </w:divBdr>
    </w:div>
    <w:div w:id="677659359">
      <w:marLeft w:val="0"/>
      <w:marRight w:val="720"/>
      <w:marTop w:val="10"/>
      <w:marBottom w:val="10"/>
      <w:divBdr>
        <w:top w:val="none" w:sz="0" w:space="0" w:color="auto"/>
        <w:left w:val="none" w:sz="0" w:space="0" w:color="auto"/>
        <w:bottom w:val="none" w:sz="0" w:space="0" w:color="auto"/>
        <w:right w:val="none" w:sz="0" w:space="0" w:color="auto"/>
      </w:divBdr>
    </w:div>
    <w:div w:id="812716627">
      <w:marLeft w:val="0"/>
      <w:marRight w:val="0"/>
      <w:marTop w:val="10"/>
      <w:marBottom w:val="10"/>
      <w:divBdr>
        <w:top w:val="none" w:sz="0" w:space="0" w:color="auto"/>
        <w:left w:val="none" w:sz="0" w:space="0" w:color="auto"/>
        <w:bottom w:val="none" w:sz="0" w:space="0" w:color="auto"/>
        <w:right w:val="none" w:sz="0" w:space="0" w:color="auto"/>
      </w:divBdr>
    </w:div>
    <w:div w:id="1111163080">
      <w:marLeft w:val="0"/>
      <w:marRight w:val="0"/>
      <w:marTop w:val="10"/>
      <w:marBottom w:val="10"/>
      <w:divBdr>
        <w:top w:val="none" w:sz="0" w:space="0" w:color="auto"/>
        <w:left w:val="none" w:sz="0" w:space="0" w:color="auto"/>
        <w:bottom w:val="none" w:sz="0" w:space="0" w:color="auto"/>
        <w:right w:val="none" w:sz="0" w:space="0" w:color="auto"/>
      </w:divBdr>
    </w:div>
    <w:div w:id="1209299986">
      <w:marLeft w:val="0"/>
      <w:marRight w:val="0"/>
      <w:marTop w:val="10"/>
      <w:marBottom w:val="10"/>
      <w:divBdr>
        <w:top w:val="none" w:sz="0" w:space="0" w:color="auto"/>
        <w:left w:val="none" w:sz="0" w:space="0" w:color="auto"/>
        <w:bottom w:val="none" w:sz="0" w:space="0" w:color="auto"/>
        <w:right w:val="none" w:sz="0" w:space="0" w:color="auto"/>
      </w:divBdr>
    </w:div>
    <w:div w:id="1530754145">
      <w:marLeft w:val="0"/>
      <w:marRight w:val="0"/>
      <w:marTop w:val="10"/>
      <w:marBottom w:val="10"/>
      <w:divBdr>
        <w:top w:val="none" w:sz="0" w:space="0" w:color="auto"/>
        <w:left w:val="none" w:sz="0" w:space="0" w:color="auto"/>
        <w:bottom w:val="none" w:sz="0" w:space="0" w:color="auto"/>
        <w:right w:val="none" w:sz="0" w:space="0" w:color="auto"/>
      </w:divBdr>
    </w:div>
    <w:div w:id="1629890803">
      <w:marLeft w:val="0"/>
      <w:marRight w:val="0"/>
      <w:marTop w:val="10"/>
      <w:marBottom w:val="10"/>
      <w:divBdr>
        <w:top w:val="none" w:sz="0" w:space="0" w:color="auto"/>
        <w:left w:val="none" w:sz="0" w:space="0" w:color="auto"/>
        <w:bottom w:val="none" w:sz="0" w:space="0" w:color="auto"/>
        <w:right w:val="none" w:sz="0" w:space="0" w:color="auto"/>
      </w:divBdr>
    </w:div>
    <w:div w:id="1851530955">
      <w:marLeft w:val="0"/>
      <w:marRight w:val="0"/>
      <w:marTop w:val="10"/>
      <w:marBottom w:val="10"/>
      <w:divBdr>
        <w:top w:val="none" w:sz="0" w:space="0" w:color="auto"/>
        <w:left w:val="none" w:sz="0" w:space="0" w:color="auto"/>
        <w:bottom w:val="none" w:sz="0" w:space="0" w:color="auto"/>
        <w:right w:val="none" w:sz="0" w:space="0" w:color="auto"/>
      </w:divBdr>
    </w:div>
    <w:div w:id="1872959166">
      <w:marLeft w:val="0"/>
      <w:marRight w:val="720"/>
      <w:marTop w:val="10"/>
      <w:marBottom w:val="10"/>
      <w:divBdr>
        <w:top w:val="none" w:sz="0" w:space="0" w:color="auto"/>
        <w:left w:val="none" w:sz="0" w:space="0" w:color="auto"/>
        <w:bottom w:val="none" w:sz="0" w:space="0" w:color="auto"/>
        <w:right w:val="none" w:sz="0" w:space="0" w:color="auto"/>
      </w:divBdr>
    </w:div>
    <w:div w:id="1953439103">
      <w:marLeft w:val="0"/>
      <w:marRight w:val="720"/>
      <w:marTop w:val="10"/>
      <w:marBottom w:val="10"/>
      <w:divBdr>
        <w:top w:val="none" w:sz="0" w:space="0" w:color="auto"/>
        <w:left w:val="none" w:sz="0" w:space="0" w:color="auto"/>
        <w:bottom w:val="none" w:sz="0" w:space="0" w:color="auto"/>
        <w:right w:val="none" w:sz="0" w:space="0" w:color="auto"/>
      </w:divBdr>
    </w:div>
    <w:div w:id="1956134620">
      <w:marLeft w:val="0"/>
      <w:marRight w:val="0"/>
      <w:marTop w:val="10"/>
      <w:marBottom w:val="10"/>
      <w:divBdr>
        <w:top w:val="none" w:sz="0" w:space="0" w:color="auto"/>
        <w:left w:val="none" w:sz="0" w:space="0" w:color="auto"/>
        <w:bottom w:val="none" w:sz="0" w:space="0" w:color="auto"/>
        <w:right w:val="none" w:sz="0" w:space="0" w:color="auto"/>
      </w:divBdr>
    </w:div>
    <w:div w:id="1979409962">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