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C36A8">
      <w:pPr>
        <w:spacing w:line="500" w:lineRule="atLeast"/>
        <w:jc w:val="center"/>
        <w:divId w:val="1967614497"/>
        <w:rPr>
          <w:rFonts w:ascii="黑体" w:eastAsia="黑体" w:hAnsi="黑体"/>
          <w:sz w:val="36"/>
          <w:szCs w:val="36"/>
        </w:rPr>
      </w:pPr>
      <w:bookmarkStart w:id="0" w:name="_GoBack"/>
      <w:bookmarkEnd w:id="0"/>
      <w:r>
        <w:rPr>
          <w:rFonts w:ascii="黑体" w:eastAsia="黑体" w:hAnsi="黑体" w:hint="eastAsia"/>
          <w:sz w:val="36"/>
          <w:szCs w:val="36"/>
        </w:rPr>
        <w:t>新疆维吾尔自治区高级人民法院</w:t>
      </w:r>
    </w:p>
    <w:p w:rsidR="00000000" w:rsidRDefault="00BC36A8">
      <w:pPr>
        <w:spacing w:line="500" w:lineRule="atLeast"/>
        <w:jc w:val="center"/>
        <w:divId w:val="54028832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BC36A8">
      <w:pPr>
        <w:spacing w:line="500" w:lineRule="atLeast"/>
        <w:jc w:val="right"/>
        <w:divId w:val="1352105882"/>
        <w:rPr>
          <w:rFonts w:hint="eastAsia"/>
          <w:sz w:val="30"/>
          <w:szCs w:val="30"/>
        </w:rPr>
      </w:pPr>
      <w:r>
        <w:rPr>
          <w:rFonts w:hint="eastAsia"/>
          <w:sz w:val="30"/>
          <w:szCs w:val="30"/>
        </w:rPr>
        <w:t>（</w:t>
      </w:r>
      <w:r>
        <w:rPr>
          <w:rFonts w:hint="eastAsia"/>
          <w:sz w:val="30"/>
          <w:szCs w:val="30"/>
        </w:rPr>
        <w:t>2021</w:t>
      </w:r>
      <w:r>
        <w:rPr>
          <w:rFonts w:hint="eastAsia"/>
          <w:sz w:val="30"/>
          <w:szCs w:val="30"/>
        </w:rPr>
        <w:t>）新民申</w:t>
      </w:r>
      <w:r>
        <w:rPr>
          <w:rFonts w:hint="eastAsia"/>
          <w:sz w:val="30"/>
          <w:szCs w:val="30"/>
        </w:rPr>
        <w:t>1100</w:t>
      </w:r>
      <w:r>
        <w:rPr>
          <w:rFonts w:hint="eastAsia"/>
          <w:sz w:val="30"/>
          <w:szCs w:val="30"/>
        </w:rPr>
        <w:t>号</w:t>
      </w:r>
    </w:p>
    <w:p w:rsidR="00000000" w:rsidRDefault="00BC36A8">
      <w:pPr>
        <w:spacing w:line="500" w:lineRule="atLeast"/>
        <w:ind w:firstLine="600"/>
        <w:divId w:val="1920870446"/>
        <w:rPr>
          <w:rFonts w:hint="eastAsia"/>
          <w:sz w:val="30"/>
          <w:szCs w:val="30"/>
        </w:rPr>
      </w:pPr>
      <w:r>
        <w:rPr>
          <w:rFonts w:hint="eastAsia"/>
          <w:sz w:val="30"/>
          <w:szCs w:val="30"/>
        </w:rPr>
        <w:t>再审申请人（一审原告、二审上诉人）：李某</w:t>
      </w:r>
      <w:r>
        <w:rPr>
          <w:rFonts w:hint="eastAsia"/>
          <w:sz w:val="30"/>
          <w:szCs w:val="30"/>
        </w:rPr>
        <w:t>1</w:t>
      </w:r>
      <w:r>
        <w:rPr>
          <w:rFonts w:hint="eastAsia"/>
          <w:sz w:val="30"/>
          <w:szCs w:val="30"/>
        </w:rPr>
        <w:t>，男，</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17</w:t>
      </w:r>
      <w:r>
        <w:rPr>
          <w:rFonts w:hint="eastAsia"/>
          <w:sz w:val="30"/>
          <w:szCs w:val="30"/>
        </w:rPr>
        <w:t>日出生，汉族，住新疆维吾尔自治区乌鲁木齐市水磨沟区。</w:t>
      </w:r>
    </w:p>
    <w:p w:rsidR="00000000" w:rsidRDefault="00BC36A8">
      <w:pPr>
        <w:spacing w:line="500" w:lineRule="atLeast"/>
        <w:ind w:firstLine="600"/>
        <w:divId w:val="2031642594"/>
        <w:rPr>
          <w:rFonts w:hint="eastAsia"/>
          <w:sz w:val="30"/>
          <w:szCs w:val="30"/>
        </w:rPr>
      </w:pPr>
      <w:r>
        <w:rPr>
          <w:rFonts w:hint="eastAsia"/>
          <w:sz w:val="30"/>
          <w:szCs w:val="30"/>
        </w:rPr>
        <w:t>法定代理人：李某</w:t>
      </w:r>
      <w:r>
        <w:rPr>
          <w:rFonts w:hint="eastAsia"/>
          <w:sz w:val="30"/>
          <w:szCs w:val="30"/>
        </w:rPr>
        <w:t>2</w:t>
      </w:r>
      <w:r>
        <w:rPr>
          <w:rFonts w:hint="eastAsia"/>
          <w:sz w:val="30"/>
          <w:szCs w:val="30"/>
        </w:rPr>
        <w:t>（系李某</w:t>
      </w:r>
      <w:r>
        <w:rPr>
          <w:rFonts w:hint="eastAsia"/>
          <w:sz w:val="30"/>
          <w:szCs w:val="30"/>
        </w:rPr>
        <w:t>1</w:t>
      </w:r>
      <w:r>
        <w:rPr>
          <w:rFonts w:hint="eastAsia"/>
          <w:sz w:val="30"/>
          <w:szCs w:val="30"/>
        </w:rPr>
        <w:t>父亲），住新疆维吾尔自治区乌鲁木齐市水磨沟区。</w:t>
      </w:r>
    </w:p>
    <w:p w:rsidR="00000000" w:rsidRDefault="00BC36A8">
      <w:pPr>
        <w:spacing w:line="500" w:lineRule="atLeast"/>
        <w:ind w:firstLine="600"/>
        <w:divId w:val="1928492470"/>
        <w:rPr>
          <w:rFonts w:hint="eastAsia"/>
          <w:sz w:val="30"/>
          <w:szCs w:val="30"/>
        </w:rPr>
      </w:pPr>
      <w:r>
        <w:rPr>
          <w:rFonts w:hint="eastAsia"/>
          <w:sz w:val="30"/>
          <w:szCs w:val="30"/>
        </w:rPr>
        <w:t>法定代理人：龚某（系李某</w:t>
      </w:r>
      <w:r>
        <w:rPr>
          <w:rFonts w:hint="eastAsia"/>
          <w:sz w:val="30"/>
          <w:szCs w:val="30"/>
        </w:rPr>
        <w:t>1</w:t>
      </w:r>
      <w:r>
        <w:rPr>
          <w:rFonts w:hint="eastAsia"/>
          <w:sz w:val="30"/>
          <w:szCs w:val="30"/>
        </w:rPr>
        <w:t>母亲），住新疆维吾尔自治区乌鲁木齐市水磨沟区。</w:t>
      </w:r>
    </w:p>
    <w:p w:rsidR="00000000" w:rsidRDefault="00BC36A8">
      <w:pPr>
        <w:spacing w:line="500" w:lineRule="atLeast"/>
        <w:ind w:firstLine="600"/>
        <w:divId w:val="1811288520"/>
        <w:rPr>
          <w:rFonts w:hint="eastAsia"/>
          <w:sz w:val="30"/>
          <w:szCs w:val="30"/>
        </w:rPr>
      </w:pPr>
      <w:r>
        <w:rPr>
          <w:rFonts w:hint="eastAsia"/>
          <w:sz w:val="30"/>
          <w:szCs w:val="30"/>
        </w:rPr>
        <w:t>委托诉讼代理人：芦中东，新疆渭疆律师事务所律师。</w:t>
      </w:r>
    </w:p>
    <w:p w:rsidR="00000000" w:rsidRDefault="00BC36A8">
      <w:pPr>
        <w:spacing w:line="500" w:lineRule="atLeast"/>
        <w:ind w:firstLine="600"/>
        <w:divId w:val="710494067"/>
        <w:rPr>
          <w:rFonts w:hint="eastAsia"/>
          <w:sz w:val="30"/>
          <w:szCs w:val="30"/>
        </w:rPr>
      </w:pPr>
      <w:r>
        <w:rPr>
          <w:rFonts w:hint="eastAsia"/>
          <w:sz w:val="30"/>
          <w:szCs w:val="30"/>
        </w:rPr>
        <w:t>被申请人（一审被告、二审被上诉人）：乌鲁木齐市第一自治区人民医院（儿童医院），住所地新疆维吾尔自治区乌鲁木齐市天山区健康路</w:t>
      </w:r>
      <w:r>
        <w:rPr>
          <w:rFonts w:hint="eastAsia"/>
          <w:sz w:val="30"/>
          <w:szCs w:val="30"/>
        </w:rPr>
        <w:t>1</w:t>
      </w:r>
      <w:r>
        <w:rPr>
          <w:rFonts w:hint="eastAsia"/>
          <w:sz w:val="30"/>
          <w:szCs w:val="30"/>
        </w:rPr>
        <w:t>号。</w:t>
      </w:r>
    </w:p>
    <w:p w:rsidR="00000000" w:rsidRDefault="00BC36A8">
      <w:pPr>
        <w:spacing w:line="500" w:lineRule="atLeast"/>
        <w:ind w:firstLine="600"/>
        <w:divId w:val="443500452"/>
        <w:rPr>
          <w:rFonts w:hint="eastAsia"/>
          <w:sz w:val="30"/>
          <w:szCs w:val="30"/>
        </w:rPr>
      </w:pPr>
      <w:r>
        <w:rPr>
          <w:rFonts w:hint="eastAsia"/>
          <w:sz w:val="30"/>
          <w:szCs w:val="30"/>
        </w:rPr>
        <w:t>法定代表人：刘江玲，该院院长。</w:t>
      </w:r>
    </w:p>
    <w:p w:rsidR="00000000" w:rsidRDefault="00BC36A8">
      <w:pPr>
        <w:spacing w:line="500" w:lineRule="atLeast"/>
        <w:ind w:firstLine="600"/>
        <w:divId w:val="2092193971"/>
        <w:rPr>
          <w:rFonts w:hint="eastAsia"/>
          <w:sz w:val="30"/>
          <w:szCs w:val="30"/>
        </w:rPr>
      </w:pPr>
      <w:r>
        <w:rPr>
          <w:rFonts w:hint="eastAsia"/>
          <w:sz w:val="30"/>
          <w:szCs w:val="30"/>
        </w:rPr>
        <w:t>委托诉讼代理人：罗斌，男，该院工作人员。</w:t>
      </w:r>
    </w:p>
    <w:p w:rsidR="00000000" w:rsidRDefault="00BC36A8">
      <w:pPr>
        <w:spacing w:line="500" w:lineRule="atLeast"/>
        <w:ind w:firstLine="600"/>
        <w:divId w:val="1534609757"/>
        <w:rPr>
          <w:rFonts w:hint="eastAsia"/>
          <w:sz w:val="30"/>
          <w:szCs w:val="30"/>
        </w:rPr>
      </w:pPr>
      <w:r>
        <w:rPr>
          <w:rFonts w:hint="eastAsia"/>
          <w:sz w:val="30"/>
          <w:szCs w:val="30"/>
        </w:rPr>
        <w:t>委托诉讼代理人：唐春莲，上海市海华永泰（乌鲁木齐）律师事务所律师。</w:t>
      </w:r>
    </w:p>
    <w:p w:rsidR="00000000" w:rsidRDefault="00BC36A8">
      <w:pPr>
        <w:spacing w:line="500" w:lineRule="atLeast"/>
        <w:ind w:firstLine="600"/>
        <w:divId w:val="464587605"/>
        <w:rPr>
          <w:rFonts w:hint="eastAsia"/>
          <w:sz w:val="30"/>
          <w:szCs w:val="30"/>
        </w:rPr>
      </w:pPr>
      <w:r>
        <w:rPr>
          <w:rFonts w:hint="eastAsia"/>
          <w:sz w:val="30"/>
          <w:szCs w:val="30"/>
        </w:rPr>
        <w:t>被申请人（一审被告、二审被上诉人）：新疆维吾尔自治区人民医院，住所地新疆维吾尔自治区乌鲁木齐市天山区天池路</w:t>
      </w:r>
      <w:r>
        <w:rPr>
          <w:rFonts w:hint="eastAsia"/>
          <w:sz w:val="30"/>
          <w:szCs w:val="30"/>
        </w:rPr>
        <w:t>91</w:t>
      </w:r>
      <w:r>
        <w:rPr>
          <w:rFonts w:hint="eastAsia"/>
          <w:sz w:val="30"/>
          <w:szCs w:val="30"/>
        </w:rPr>
        <w:t>号。</w:t>
      </w:r>
    </w:p>
    <w:p w:rsidR="00000000" w:rsidRDefault="00BC36A8">
      <w:pPr>
        <w:spacing w:line="500" w:lineRule="atLeast"/>
        <w:ind w:firstLine="600"/>
        <w:divId w:val="977807901"/>
        <w:rPr>
          <w:rFonts w:hint="eastAsia"/>
          <w:sz w:val="30"/>
          <w:szCs w:val="30"/>
        </w:rPr>
      </w:pPr>
      <w:r>
        <w:rPr>
          <w:rFonts w:hint="eastAsia"/>
          <w:sz w:val="30"/>
          <w:szCs w:val="30"/>
        </w:rPr>
        <w:t>法定代表人：于爱平，该院院长。</w:t>
      </w:r>
    </w:p>
    <w:p w:rsidR="00000000" w:rsidRDefault="00BC36A8">
      <w:pPr>
        <w:spacing w:line="500" w:lineRule="atLeast"/>
        <w:ind w:firstLine="600"/>
        <w:divId w:val="752430472"/>
        <w:rPr>
          <w:rFonts w:hint="eastAsia"/>
          <w:sz w:val="30"/>
          <w:szCs w:val="30"/>
        </w:rPr>
      </w:pPr>
      <w:r>
        <w:rPr>
          <w:rFonts w:hint="eastAsia"/>
          <w:sz w:val="30"/>
          <w:szCs w:val="30"/>
        </w:rPr>
        <w:t>委托诉讼代理人：闫丽霞，新疆星河律师事务所律师。</w:t>
      </w:r>
    </w:p>
    <w:p w:rsidR="00000000" w:rsidRDefault="00BC36A8">
      <w:pPr>
        <w:spacing w:line="500" w:lineRule="atLeast"/>
        <w:ind w:firstLine="600"/>
        <w:divId w:val="1189441820"/>
        <w:rPr>
          <w:rFonts w:hint="eastAsia"/>
          <w:sz w:val="30"/>
          <w:szCs w:val="30"/>
        </w:rPr>
      </w:pPr>
      <w:r>
        <w:rPr>
          <w:rFonts w:hint="eastAsia"/>
          <w:sz w:val="30"/>
          <w:szCs w:val="30"/>
        </w:rPr>
        <w:t>委托诉讼代理人：唐建新，新疆星河律师事务所</w:t>
      </w:r>
      <w:r>
        <w:rPr>
          <w:rFonts w:hint="eastAsia"/>
          <w:sz w:val="30"/>
          <w:szCs w:val="30"/>
        </w:rPr>
        <w:t>律师。</w:t>
      </w:r>
    </w:p>
    <w:p w:rsidR="00000000" w:rsidRDefault="00BC36A8">
      <w:pPr>
        <w:spacing w:line="500" w:lineRule="atLeast"/>
        <w:ind w:firstLine="600"/>
        <w:divId w:val="1896239308"/>
        <w:rPr>
          <w:rFonts w:hint="eastAsia"/>
          <w:sz w:val="30"/>
          <w:szCs w:val="30"/>
        </w:rPr>
      </w:pPr>
      <w:r>
        <w:rPr>
          <w:rFonts w:hint="eastAsia"/>
          <w:sz w:val="30"/>
          <w:szCs w:val="30"/>
        </w:rPr>
        <w:t>再审申请人李某</w:t>
      </w:r>
      <w:r>
        <w:rPr>
          <w:rFonts w:hint="eastAsia"/>
          <w:sz w:val="30"/>
          <w:szCs w:val="30"/>
        </w:rPr>
        <w:t>1</w:t>
      </w:r>
      <w:r>
        <w:rPr>
          <w:rFonts w:hint="eastAsia"/>
          <w:sz w:val="30"/>
          <w:szCs w:val="30"/>
        </w:rPr>
        <w:t>因与被申请人乌鲁木齐市第一自治区人民医院（儿童医院）（以下简称儿童医院）、新疆维吾尔自治区人民医院（以下简称自治区人民医院）医疗损害责任纠纷一</w:t>
      </w:r>
      <w:r>
        <w:rPr>
          <w:rFonts w:hint="eastAsia"/>
          <w:sz w:val="30"/>
          <w:szCs w:val="30"/>
        </w:rPr>
        <w:lastRenderedPageBreak/>
        <w:t>案，不服新疆维吾尔自治区乌鲁木齐市中级人民法院（</w:t>
      </w:r>
      <w:r>
        <w:rPr>
          <w:rFonts w:hint="eastAsia"/>
          <w:sz w:val="30"/>
          <w:szCs w:val="30"/>
        </w:rPr>
        <w:t>2021</w:t>
      </w:r>
      <w:r>
        <w:rPr>
          <w:rFonts w:hint="eastAsia"/>
          <w:sz w:val="30"/>
          <w:szCs w:val="30"/>
        </w:rPr>
        <w:t>）新</w:t>
      </w:r>
      <w:r>
        <w:rPr>
          <w:rFonts w:hint="eastAsia"/>
          <w:sz w:val="30"/>
          <w:szCs w:val="30"/>
        </w:rPr>
        <w:t>01</w:t>
      </w:r>
      <w:r>
        <w:rPr>
          <w:rFonts w:hint="eastAsia"/>
          <w:sz w:val="30"/>
          <w:szCs w:val="30"/>
        </w:rPr>
        <w:t>民终</w:t>
      </w:r>
      <w:r>
        <w:rPr>
          <w:rFonts w:hint="eastAsia"/>
          <w:sz w:val="30"/>
          <w:szCs w:val="30"/>
        </w:rPr>
        <w:t>289</w:t>
      </w:r>
      <w:r>
        <w:rPr>
          <w:rFonts w:hint="eastAsia"/>
          <w:sz w:val="30"/>
          <w:szCs w:val="30"/>
        </w:rPr>
        <w:t>号民事判决，向本院申请再审。本院依法组成合议庭进行了审查，现已审查终结。</w:t>
      </w:r>
    </w:p>
    <w:p w:rsidR="00000000" w:rsidRDefault="00BC36A8">
      <w:pPr>
        <w:spacing w:line="500" w:lineRule="atLeast"/>
        <w:ind w:firstLine="600"/>
        <w:divId w:val="1176385745"/>
        <w:rPr>
          <w:rFonts w:hint="eastAsia"/>
          <w:sz w:val="30"/>
          <w:szCs w:val="30"/>
        </w:rPr>
      </w:pPr>
      <w:r>
        <w:rPr>
          <w:rFonts w:hint="eastAsia"/>
          <w:sz w:val="30"/>
          <w:szCs w:val="30"/>
        </w:rPr>
        <w:t>李某</w:t>
      </w:r>
      <w:r>
        <w:rPr>
          <w:rFonts w:hint="eastAsia"/>
          <w:sz w:val="30"/>
          <w:szCs w:val="30"/>
        </w:rPr>
        <w:t>1</w:t>
      </w:r>
      <w:r>
        <w:rPr>
          <w:rFonts w:hint="eastAsia"/>
          <w:sz w:val="30"/>
          <w:szCs w:val="30"/>
        </w:rPr>
        <w:t>申请再审称，一、原审法院认定的责任比例没有事实及法律依据，显失公平。案涉《医疗事故鉴定报告》认定，儿童医院未及时诊断及违反医疗常规。同时，自治区人民医院诊疗检查过于简单，未尽危险注意义务，与李</w:t>
      </w:r>
      <w:r>
        <w:rPr>
          <w:rFonts w:hint="eastAsia"/>
          <w:sz w:val="30"/>
          <w:szCs w:val="30"/>
        </w:rPr>
        <w:t>某</w:t>
      </w:r>
      <w:r>
        <w:rPr>
          <w:rFonts w:hint="eastAsia"/>
          <w:sz w:val="30"/>
          <w:szCs w:val="30"/>
        </w:rPr>
        <w:t>1</w:t>
      </w:r>
      <w:r>
        <w:rPr>
          <w:rFonts w:hint="eastAsia"/>
          <w:sz w:val="30"/>
          <w:szCs w:val="30"/>
        </w:rPr>
        <w:t>病情恶化具有因果关系。故儿童医院应当承担</w:t>
      </w:r>
      <w:r>
        <w:rPr>
          <w:rFonts w:hint="eastAsia"/>
          <w:sz w:val="30"/>
          <w:szCs w:val="30"/>
        </w:rPr>
        <w:t>70%</w:t>
      </w:r>
      <w:r>
        <w:rPr>
          <w:rFonts w:hint="eastAsia"/>
          <w:sz w:val="30"/>
          <w:szCs w:val="30"/>
        </w:rPr>
        <w:t>以上的责任，自治区人民医院应当承担</w:t>
      </w:r>
      <w:r>
        <w:rPr>
          <w:rFonts w:hint="eastAsia"/>
          <w:sz w:val="30"/>
          <w:szCs w:val="30"/>
        </w:rPr>
        <w:t>20%</w:t>
      </w:r>
      <w:r>
        <w:rPr>
          <w:rFonts w:hint="eastAsia"/>
          <w:sz w:val="30"/>
          <w:szCs w:val="30"/>
        </w:rPr>
        <w:t>以上的责任。李某</w:t>
      </w:r>
      <w:r>
        <w:rPr>
          <w:rFonts w:hint="eastAsia"/>
          <w:sz w:val="30"/>
          <w:szCs w:val="30"/>
        </w:rPr>
        <w:t>1</w:t>
      </w:r>
      <w:r>
        <w:rPr>
          <w:rFonts w:hint="eastAsia"/>
          <w:sz w:val="30"/>
          <w:szCs w:val="30"/>
        </w:rPr>
        <w:t>的法定代理人在李某</w:t>
      </w:r>
      <w:r>
        <w:rPr>
          <w:rFonts w:hint="eastAsia"/>
          <w:sz w:val="30"/>
          <w:szCs w:val="30"/>
        </w:rPr>
        <w:t>1</w:t>
      </w:r>
      <w:r>
        <w:rPr>
          <w:rFonts w:hint="eastAsia"/>
          <w:sz w:val="30"/>
          <w:szCs w:val="30"/>
        </w:rPr>
        <w:t>身体出现问题时及时就医，遵从医嘱，对病情发展延误、恶化不存在过错，不应当承担责任。二、根据《医疗事故分级标准（试行）》规定，案涉《医疗事故鉴定报告》认定的儿童医院三级丙等医疗事故对应八级伤残，残疾赔偿系数应按</w:t>
      </w:r>
      <w:r>
        <w:rPr>
          <w:rFonts w:hint="eastAsia"/>
          <w:sz w:val="30"/>
          <w:szCs w:val="30"/>
        </w:rPr>
        <w:t>30%</w:t>
      </w:r>
      <w:r>
        <w:rPr>
          <w:rFonts w:hint="eastAsia"/>
          <w:sz w:val="30"/>
          <w:szCs w:val="30"/>
        </w:rPr>
        <w:t>计算。相关法律规定，造成患者残疾的，按照医疗事故发生地居民年平均生活费计算精神损害抚慰金，赔偿年限最长不超过三年。原审法院以李某</w:t>
      </w:r>
      <w:r>
        <w:rPr>
          <w:rFonts w:hint="eastAsia"/>
          <w:sz w:val="30"/>
          <w:szCs w:val="30"/>
        </w:rPr>
        <w:t>1</w:t>
      </w:r>
      <w:r>
        <w:rPr>
          <w:rFonts w:hint="eastAsia"/>
          <w:sz w:val="30"/>
          <w:szCs w:val="30"/>
        </w:rPr>
        <w:t>未治疗终结为由，不予支持其主张的残疾赔偿</w:t>
      </w:r>
      <w:r>
        <w:rPr>
          <w:rFonts w:hint="eastAsia"/>
          <w:sz w:val="30"/>
          <w:szCs w:val="30"/>
        </w:rPr>
        <w:t>金及精神损害抚慰金有误。三、社会保险医疗费应由儿童医院、自治区人民医院予以赔偿。医疗保险与人身损害赔偿属于不同的法律关系，社保报销的医疗费是李某</w:t>
      </w:r>
      <w:r>
        <w:rPr>
          <w:rFonts w:hint="eastAsia"/>
          <w:sz w:val="30"/>
          <w:szCs w:val="30"/>
        </w:rPr>
        <w:t>1</w:t>
      </w:r>
      <w:r>
        <w:rPr>
          <w:rFonts w:hint="eastAsia"/>
          <w:sz w:val="30"/>
          <w:szCs w:val="30"/>
        </w:rPr>
        <w:t>参加医疗保险获得的合法权益，不应成为免除侵权人赔偿义务的理由。四、李某</w:t>
      </w:r>
      <w:r>
        <w:rPr>
          <w:rFonts w:hint="eastAsia"/>
          <w:sz w:val="30"/>
          <w:szCs w:val="30"/>
        </w:rPr>
        <w:t>1</w:t>
      </w:r>
      <w:r>
        <w:rPr>
          <w:rFonts w:hint="eastAsia"/>
          <w:sz w:val="30"/>
          <w:szCs w:val="30"/>
        </w:rPr>
        <w:t>到各地治疗发生的交通费和住宿费均为合理费用，票据日期与医院就诊日期相互对应，原审法院未予支持部分交通费、住宿费有误。五、李某</w:t>
      </w:r>
      <w:r>
        <w:rPr>
          <w:rFonts w:hint="eastAsia"/>
          <w:sz w:val="30"/>
          <w:szCs w:val="30"/>
        </w:rPr>
        <w:t>1</w:t>
      </w:r>
      <w:r>
        <w:rPr>
          <w:rFonts w:hint="eastAsia"/>
          <w:sz w:val="30"/>
          <w:szCs w:val="30"/>
        </w:rPr>
        <w:t>患病住院时年仅两岁，无生活自理能力，至少需要两名成年人进行</w:t>
      </w:r>
      <w:r>
        <w:rPr>
          <w:rFonts w:hint="eastAsia"/>
          <w:sz w:val="30"/>
          <w:szCs w:val="30"/>
        </w:rPr>
        <w:t>24</w:t>
      </w:r>
      <w:r>
        <w:rPr>
          <w:rFonts w:hint="eastAsia"/>
          <w:sz w:val="30"/>
          <w:szCs w:val="30"/>
        </w:rPr>
        <w:t>小时陪护，应按照每天</w:t>
      </w:r>
      <w:r>
        <w:rPr>
          <w:rFonts w:hint="eastAsia"/>
          <w:sz w:val="30"/>
          <w:szCs w:val="30"/>
        </w:rPr>
        <w:t>2</w:t>
      </w:r>
      <w:r>
        <w:rPr>
          <w:rFonts w:hint="eastAsia"/>
          <w:sz w:val="30"/>
          <w:szCs w:val="30"/>
        </w:rPr>
        <w:t>人标准认定护理费。六、因医院过错致使李某</w:t>
      </w:r>
      <w:r>
        <w:rPr>
          <w:rFonts w:hint="eastAsia"/>
          <w:sz w:val="30"/>
          <w:szCs w:val="30"/>
        </w:rPr>
        <w:t>1</w:t>
      </w:r>
      <w:r>
        <w:rPr>
          <w:rFonts w:hint="eastAsia"/>
          <w:sz w:val="30"/>
          <w:szCs w:val="30"/>
        </w:rPr>
        <w:t>合法权益遭受损害引发本案诉讼，儿童医院、自</w:t>
      </w:r>
      <w:r>
        <w:rPr>
          <w:rFonts w:hint="eastAsia"/>
          <w:sz w:val="30"/>
          <w:szCs w:val="30"/>
        </w:rPr>
        <w:t>治区人民医院应当承担律</w:t>
      </w:r>
      <w:r>
        <w:rPr>
          <w:rFonts w:hint="eastAsia"/>
          <w:sz w:val="30"/>
          <w:szCs w:val="30"/>
        </w:rPr>
        <w:lastRenderedPageBreak/>
        <w:t>师代理费</w:t>
      </w:r>
      <w:r>
        <w:rPr>
          <w:rFonts w:hint="eastAsia"/>
          <w:sz w:val="30"/>
          <w:szCs w:val="30"/>
        </w:rPr>
        <w:t>20,000</w:t>
      </w:r>
      <w:r>
        <w:rPr>
          <w:rFonts w:hint="eastAsia"/>
          <w:sz w:val="30"/>
          <w:szCs w:val="30"/>
        </w:rPr>
        <w:t>元。综上，原审法院认定事实不清，依据《中华人民共和国民事诉讼法》第二百条第二项规定申请再审。</w:t>
      </w:r>
    </w:p>
    <w:p w:rsidR="00000000" w:rsidRDefault="00BC36A8">
      <w:pPr>
        <w:spacing w:line="500" w:lineRule="atLeast"/>
        <w:ind w:firstLine="600"/>
        <w:divId w:val="1129518695"/>
        <w:rPr>
          <w:rFonts w:hint="eastAsia"/>
          <w:sz w:val="30"/>
          <w:szCs w:val="30"/>
        </w:rPr>
      </w:pPr>
      <w:r>
        <w:rPr>
          <w:rFonts w:hint="eastAsia"/>
          <w:sz w:val="30"/>
          <w:szCs w:val="30"/>
        </w:rPr>
        <w:t>儿童医院提交意见称，一、儿童医院对李某</w:t>
      </w:r>
      <w:r>
        <w:rPr>
          <w:rFonts w:hint="eastAsia"/>
          <w:sz w:val="30"/>
          <w:szCs w:val="30"/>
        </w:rPr>
        <w:t>1</w:t>
      </w:r>
      <w:r>
        <w:rPr>
          <w:rFonts w:hint="eastAsia"/>
          <w:sz w:val="30"/>
          <w:szCs w:val="30"/>
        </w:rPr>
        <w:t>积极治疗，虽然诊疗过程中存在不足，但已经尽力救治患者。儿童医院在本案中应承担次要责任，主要责任应当由自治区人民医院承担，李某</w:t>
      </w:r>
      <w:r>
        <w:rPr>
          <w:rFonts w:hint="eastAsia"/>
          <w:sz w:val="30"/>
          <w:szCs w:val="30"/>
        </w:rPr>
        <w:t>1</w:t>
      </w:r>
      <w:r>
        <w:rPr>
          <w:rFonts w:hint="eastAsia"/>
          <w:sz w:val="30"/>
          <w:szCs w:val="30"/>
        </w:rPr>
        <w:t>要求儿童医院承担</w:t>
      </w:r>
      <w:r>
        <w:rPr>
          <w:rFonts w:hint="eastAsia"/>
          <w:sz w:val="30"/>
          <w:szCs w:val="30"/>
        </w:rPr>
        <w:t>70%</w:t>
      </w:r>
      <w:r>
        <w:rPr>
          <w:rFonts w:hint="eastAsia"/>
          <w:sz w:val="30"/>
          <w:szCs w:val="30"/>
        </w:rPr>
        <w:t>以上的责任没有事实及法律依据。二、残疾赔偿金应在治疗终结后确定，李某</w:t>
      </w:r>
      <w:r>
        <w:rPr>
          <w:rFonts w:hint="eastAsia"/>
          <w:sz w:val="30"/>
          <w:szCs w:val="30"/>
        </w:rPr>
        <w:t>1</w:t>
      </w:r>
      <w:r>
        <w:rPr>
          <w:rFonts w:hint="eastAsia"/>
          <w:sz w:val="30"/>
          <w:szCs w:val="30"/>
        </w:rPr>
        <w:t>认可其还需继续治疗，其在本案中主张残疾赔偿金没有依据。人身损害赔偿不包括社保报销费用，原判决认定交通费、护理费、住宿费</w:t>
      </w:r>
      <w:r>
        <w:rPr>
          <w:rFonts w:hint="eastAsia"/>
          <w:sz w:val="30"/>
          <w:szCs w:val="30"/>
        </w:rPr>
        <w:t>数额正确。李某</w:t>
      </w:r>
      <w:r>
        <w:rPr>
          <w:rFonts w:hint="eastAsia"/>
          <w:sz w:val="30"/>
          <w:szCs w:val="30"/>
        </w:rPr>
        <w:t>1</w:t>
      </w:r>
      <w:r>
        <w:rPr>
          <w:rFonts w:hint="eastAsia"/>
          <w:sz w:val="30"/>
          <w:szCs w:val="30"/>
        </w:rPr>
        <w:t>主张赔偿律师费没有法律依据。综上，请求驳回李某</w:t>
      </w:r>
      <w:r>
        <w:rPr>
          <w:rFonts w:hint="eastAsia"/>
          <w:sz w:val="30"/>
          <w:szCs w:val="30"/>
        </w:rPr>
        <w:t>1</w:t>
      </w:r>
      <w:r>
        <w:rPr>
          <w:rFonts w:hint="eastAsia"/>
          <w:sz w:val="30"/>
          <w:szCs w:val="30"/>
        </w:rPr>
        <w:t>的再审申请。</w:t>
      </w:r>
    </w:p>
    <w:p w:rsidR="00000000" w:rsidRDefault="00BC36A8">
      <w:pPr>
        <w:spacing w:line="500" w:lineRule="atLeast"/>
        <w:ind w:firstLine="600"/>
        <w:divId w:val="1877893147"/>
        <w:rPr>
          <w:rFonts w:hint="eastAsia"/>
          <w:sz w:val="30"/>
          <w:szCs w:val="30"/>
        </w:rPr>
      </w:pPr>
      <w:r>
        <w:rPr>
          <w:rFonts w:hint="eastAsia"/>
          <w:sz w:val="30"/>
          <w:szCs w:val="30"/>
        </w:rPr>
        <w:t>自治区人民医院提交意见称，一、儿童医院在本案中应当承担更多的责任，自治区人民医院不构成医疗事故，其与李某</w:t>
      </w:r>
      <w:r>
        <w:rPr>
          <w:rFonts w:hint="eastAsia"/>
          <w:sz w:val="30"/>
          <w:szCs w:val="30"/>
        </w:rPr>
        <w:t>1</w:t>
      </w:r>
      <w:r>
        <w:rPr>
          <w:rFonts w:hint="eastAsia"/>
          <w:sz w:val="30"/>
          <w:szCs w:val="30"/>
        </w:rPr>
        <w:t>病情之间不存在因果关系，原判决认定自治区人民医院承担</w:t>
      </w:r>
      <w:r>
        <w:rPr>
          <w:rFonts w:hint="eastAsia"/>
          <w:sz w:val="30"/>
          <w:szCs w:val="30"/>
        </w:rPr>
        <w:t>15%</w:t>
      </w:r>
      <w:r>
        <w:rPr>
          <w:rFonts w:hint="eastAsia"/>
          <w:sz w:val="30"/>
          <w:szCs w:val="30"/>
        </w:rPr>
        <w:t>的责任比例缺乏依据，显失公平。二、李某</w:t>
      </w:r>
      <w:r>
        <w:rPr>
          <w:rFonts w:hint="eastAsia"/>
          <w:sz w:val="30"/>
          <w:szCs w:val="30"/>
        </w:rPr>
        <w:t>1</w:t>
      </w:r>
      <w:r>
        <w:rPr>
          <w:rFonts w:hint="eastAsia"/>
          <w:sz w:val="30"/>
          <w:szCs w:val="30"/>
        </w:rPr>
        <w:t>未进行伤残鉴定，其主张赔偿精神抚慰金没有依据，原审法院不予支持其主张的伤残赔偿金正确。三、原审法院以社保报销医疗费并非李某</w:t>
      </w:r>
      <w:r>
        <w:rPr>
          <w:rFonts w:hint="eastAsia"/>
          <w:sz w:val="30"/>
          <w:szCs w:val="30"/>
        </w:rPr>
        <w:t>1</w:t>
      </w:r>
      <w:r>
        <w:rPr>
          <w:rFonts w:hint="eastAsia"/>
          <w:sz w:val="30"/>
          <w:szCs w:val="30"/>
        </w:rPr>
        <w:t>的实际损失为由，不予支持李某</w:t>
      </w:r>
      <w:r>
        <w:rPr>
          <w:rFonts w:hint="eastAsia"/>
          <w:sz w:val="30"/>
          <w:szCs w:val="30"/>
        </w:rPr>
        <w:t>1</w:t>
      </w:r>
      <w:r>
        <w:rPr>
          <w:rFonts w:hint="eastAsia"/>
          <w:sz w:val="30"/>
          <w:szCs w:val="30"/>
        </w:rPr>
        <w:t>主张的医疗费处理正确。四、原判决认定交通费、护理费数额无误，不予支持李某</w:t>
      </w:r>
      <w:r>
        <w:rPr>
          <w:rFonts w:hint="eastAsia"/>
          <w:sz w:val="30"/>
          <w:szCs w:val="30"/>
        </w:rPr>
        <w:t>1</w:t>
      </w:r>
      <w:r>
        <w:rPr>
          <w:rFonts w:hint="eastAsia"/>
          <w:sz w:val="30"/>
          <w:szCs w:val="30"/>
        </w:rPr>
        <w:t>主</w:t>
      </w:r>
      <w:r>
        <w:rPr>
          <w:rFonts w:hint="eastAsia"/>
          <w:sz w:val="30"/>
          <w:szCs w:val="30"/>
        </w:rPr>
        <w:t>张的律师费正确。综上，李某</w:t>
      </w:r>
      <w:r>
        <w:rPr>
          <w:rFonts w:hint="eastAsia"/>
          <w:sz w:val="30"/>
          <w:szCs w:val="30"/>
        </w:rPr>
        <w:t>1</w:t>
      </w:r>
      <w:r>
        <w:rPr>
          <w:rFonts w:hint="eastAsia"/>
          <w:sz w:val="30"/>
          <w:szCs w:val="30"/>
        </w:rPr>
        <w:t>的申请再审理由不能成立，应予驳回。</w:t>
      </w:r>
    </w:p>
    <w:p w:rsidR="00000000" w:rsidRDefault="00BC36A8">
      <w:pPr>
        <w:spacing w:line="500" w:lineRule="atLeast"/>
        <w:ind w:firstLine="600"/>
        <w:divId w:val="14962201"/>
        <w:rPr>
          <w:rFonts w:hint="eastAsia"/>
          <w:sz w:val="30"/>
          <w:szCs w:val="30"/>
        </w:rPr>
      </w:pPr>
      <w:r>
        <w:rPr>
          <w:rFonts w:hint="eastAsia"/>
          <w:sz w:val="30"/>
          <w:szCs w:val="30"/>
        </w:rPr>
        <w:t>本院经审查认为，本案再审审查的焦点为：一、原审法院认定本案责任比例是否适当；二、原判决确认李某</w:t>
      </w:r>
      <w:r>
        <w:rPr>
          <w:rFonts w:hint="eastAsia"/>
          <w:sz w:val="30"/>
          <w:szCs w:val="30"/>
        </w:rPr>
        <w:t>1</w:t>
      </w:r>
      <w:r>
        <w:rPr>
          <w:rFonts w:hint="eastAsia"/>
          <w:sz w:val="30"/>
          <w:szCs w:val="30"/>
        </w:rPr>
        <w:t>主张的伤残赔偿金、精神抚慰金、医疗费、交通费、住宿费、护理费、律师代理费是否正确。</w:t>
      </w:r>
    </w:p>
    <w:p w:rsidR="00000000" w:rsidRDefault="00BC36A8">
      <w:pPr>
        <w:spacing w:line="500" w:lineRule="atLeast"/>
        <w:ind w:firstLine="600"/>
        <w:divId w:val="848643241"/>
        <w:rPr>
          <w:rFonts w:hint="eastAsia"/>
          <w:sz w:val="30"/>
          <w:szCs w:val="30"/>
        </w:rPr>
      </w:pPr>
      <w:r>
        <w:rPr>
          <w:rFonts w:hint="eastAsia"/>
          <w:sz w:val="30"/>
          <w:szCs w:val="30"/>
        </w:rPr>
        <w:t>本案系医疗损害责任纠纷。患者在诊疗活动中受到损害，医疗机构及医务人员有过错，或者医务人员在诊疗活动未尽到与当时的水平相应的诊疗义务，造成患者损害的，医疗机构应当承担赔偿责任。为查明案件事实，一审法院委托乌鲁木齐市医学会进行了医疗事故技术鉴定。经乌鲁木齐市医学会认定，本</w:t>
      </w:r>
      <w:r>
        <w:rPr>
          <w:rFonts w:hint="eastAsia"/>
          <w:sz w:val="30"/>
          <w:szCs w:val="30"/>
        </w:rPr>
        <w:t>案病例中儿童医院属于三级丙等医疗事故，医方应承担主要责任。各方均未就此提出异议，该医疗事故技术鉴定能够作为定案依据。同时，自治区人民医院未尽与其医疗水平相一致的诊疗义务，亦应对李某</w:t>
      </w:r>
      <w:r>
        <w:rPr>
          <w:rFonts w:hint="eastAsia"/>
          <w:sz w:val="30"/>
          <w:szCs w:val="30"/>
        </w:rPr>
        <w:t>1</w:t>
      </w:r>
      <w:r>
        <w:rPr>
          <w:rFonts w:hint="eastAsia"/>
          <w:sz w:val="30"/>
          <w:szCs w:val="30"/>
        </w:rPr>
        <w:t>的损害结果承担相应的赔偿责任。原审法院结合儿童医院、自治区人民医院的过错程度，以及患者李某</w:t>
      </w:r>
      <w:r>
        <w:rPr>
          <w:rFonts w:hint="eastAsia"/>
          <w:sz w:val="30"/>
          <w:szCs w:val="30"/>
        </w:rPr>
        <w:t>1</w:t>
      </w:r>
      <w:r>
        <w:rPr>
          <w:rFonts w:hint="eastAsia"/>
          <w:sz w:val="30"/>
          <w:szCs w:val="30"/>
        </w:rPr>
        <w:t>自身年幼的体质因素、病情进展快、感染重的疾病特点、严重程度等情形，酌情认定儿童医院承担</w:t>
      </w:r>
      <w:r>
        <w:rPr>
          <w:rFonts w:hint="eastAsia"/>
          <w:sz w:val="30"/>
          <w:szCs w:val="30"/>
        </w:rPr>
        <w:t>60%</w:t>
      </w:r>
      <w:r>
        <w:rPr>
          <w:rFonts w:hint="eastAsia"/>
          <w:sz w:val="30"/>
          <w:szCs w:val="30"/>
        </w:rPr>
        <w:t>的赔偿责任，自治区人民医院承担</w:t>
      </w:r>
      <w:r>
        <w:rPr>
          <w:rFonts w:hint="eastAsia"/>
          <w:sz w:val="30"/>
          <w:szCs w:val="30"/>
        </w:rPr>
        <w:t>15%</w:t>
      </w:r>
      <w:r>
        <w:rPr>
          <w:rFonts w:hint="eastAsia"/>
          <w:sz w:val="30"/>
          <w:szCs w:val="30"/>
        </w:rPr>
        <w:t>的赔偿责任符合本案的客观事实，亦符合公平原则，且李某</w:t>
      </w:r>
      <w:r>
        <w:rPr>
          <w:rFonts w:hint="eastAsia"/>
          <w:sz w:val="30"/>
          <w:szCs w:val="30"/>
        </w:rPr>
        <w:t>1</w:t>
      </w:r>
      <w:r>
        <w:rPr>
          <w:rFonts w:hint="eastAsia"/>
          <w:sz w:val="30"/>
          <w:szCs w:val="30"/>
        </w:rPr>
        <w:t>亦未提交证据证明原审法院存在滥用自由裁量权的情形，故其申</w:t>
      </w:r>
      <w:r>
        <w:rPr>
          <w:rFonts w:hint="eastAsia"/>
          <w:sz w:val="30"/>
          <w:szCs w:val="30"/>
        </w:rPr>
        <w:t>请再审主张原审法院划分责任比例错误依据不足，本院不予采纳。</w:t>
      </w:r>
    </w:p>
    <w:p w:rsidR="00000000" w:rsidRDefault="00BC36A8">
      <w:pPr>
        <w:spacing w:line="500" w:lineRule="atLeast"/>
        <w:ind w:firstLine="600"/>
        <w:divId w:val="418526006"/>
        <w:rPr>
          <w:rFonts w:hint="eastAsia"/>
          <w:sz w:val="30"/>
          <w:szCs w:val="30"/>
        </w:rPr>
      </w:pPr>
      <w:r>
        <w:rPr>
          <w:rFonts w:hint="eastAsia"/>
          <w:sz w:val="30"/>
          <w:szCs w:val="30"/>
        </w:rPr>
        <w:t>关于原审法院认定李某</w:t>
      </w:r>
      <w:r>
        <w:rPr>
          <w:rFonts w:hint="eastAsia"/>
          <w:sz w:val="30"/>
          <w:szCs w:val="30"/>
        </w:rPr>
        <w:t>1</w:t>
      </w:r>
      <w:r>
        <w:rPr>
          <w:rFonts w:hint="eastAsia"/>
          <w:sz w:val="30"/>
          <w:szCs w:val="30"/>
        </w:rPr>
        <w:t>主张的伤残赔偿金、精神抚慰金、医疗费、交通费、住宿费、护理费、律师代理费是否正确。首先，李某</w:t>
      </w:r>
      <w:r>
        <w:rPr>
          <w:rFonts w:hint="eastAsia"/>
          <w:sz w:val="30"/>
          <w:szCs w:val="30"/>
        </w:rPr>
        <w:t>1</w:t>
      </w:r>
      <w:r>
        <w:rPr>
          <w:rFonts w:hint="eastAsia"/>
          <w:sz w:val="30"/>
          <w:szCs w:val="30"/>
        </w:rPr>
        <w:t>起诉本案时其治疗仍未结束，原审法院因李某</w:t>
      </w:r>
      <w:r>
        <w:rPr>
          <w:rFonts w:hint="eastAsia"/>
          <w:sz w:val="30"/>
          <w:szCs w:val="30"/>
        </w:rPr>
        <w:t>1</w:t>
      </w:r>
      <w:r>
        <w:rPr>
          <w:rFonts w:hint="eastAsia"/>
          <w:sz w:val="30"/>
          <w:szCs w:val="30"/>
        </w:rPr>
        <w:t>伤残等级尚未确定，没有具体标准依据，对其主张的伤残赔偿金、精神抚慰金告知其在治疗终结后可另行主张权利，并无不当。其次，《中华人民共和国社会保险法》第三十条第二款规定：医疗费用依法应当由第三人负担，第三人不支付或者无法确定第三人的，由基本医疗保险基金先行支付。基本医疗保险基金先行支付后，有权向第</w:t>
      </w:r>
      <w:r>
        <w:rPr>
          <w:rFonts w:hint="eastAsia"/>
          <w:sz w:val="30"/>
          <w:szCs w:val="30"/>
        </w:rPr>
        <w:t>三人追偿。因此，如参保人员的医疗费已通过基本医疗保险基金先行支付，则参保人员因医疗损害产生的赔偿请求权已经转移给社会保险经办机构，患者或其家属不得再向医疗机构主张已经医保报销的相关费用。李某</w:t>
      </w:r>
      <w:r>
        <w:rPr>
          <w:rFonts w:hint="eastAsia"/>
          <w:sz w:val="30"/>
          <w:szCs w:val="30"/>
        </w:rPr>
        <w:t>1</w:t>
      </w:r>
      <w:r>
        <w:rPr>
          <w:rFonts w:hint="eastAsia"/>
          <w:sz w:val="30"/>
          <w:szCs w:val="30"/>
        </w:rPr>
        <w:t>申请再审主张儿童医院、自治区人民医院赔偿已通过社会保险基金支付的医疗费与法相悖，本院不予支持。第三，交通费、住宿费应依据受害人及其必要的陪护人员因受害人就医或者转院治疗实际发生，与就医地点、时间、人数、次数相符合的票据予以认定。原审法院根据李某</w:t>
      </w:r>
      <w:r>
        <w:rPr>
          <w:rFonts w:hint="eastAsia"/>
          <w:sz w:val="30"/>
          <w:szCs w:val="30"/>
        </w:rPr>
        <w:t>1</w:t>
      </w:r>
      <w:r>
        <w:rPr>
          <w:rFonts w:hint="eastAsia"/>
          <w:sz w:val="30"/>
          <w:szCs w:val="30"/>
        </w:rPr>
        <w:t>提交票据的实际情况，对其主张的交通费、住宿费的数额认定并无不当。第四，《最</w:t>
      </w:r>
      <w:r>
        <w:rPr>
          <w:rFonts w:hint="eastAsia"/>
          <w:sz w:val="30"/>
          <w:szCs w:val="30"/>
        </w:rPr>
        <w:t>高人民法院关于审理人身损害赔偿案件适用法律若干问题的解释》（法释〔</w:t>
      </w:r>
      <w:r>
        <w:rPr>
          <w:rFonts w:hint="eastAsia"/>
          <w:sz w:val="30"/>
          <w:szCs w:val="30"/>
        </w:rPr>
        <w:t>2003</w:t>
      </w:r>
      <w:r>
        <w:rPr>
          <w:rFonts w:hint="eastAsia"/>
          <w:sz w:val="30"/>
          <w:szCs w:val="30"/>
        </w:rPr>
        <w:t>〕</w:t>
      </w:r>
      <w:r>
        <w:rPr>
          <w:rFonts w:hint="eastAsia"/>
          <w:sz w:val="30"/>
          <w:szCs w:val="30"/>
        </w:rPr>
        <w:t>20</w:t>
      </w:r>
      <w:r>
        <w:rPr>
          <w:rFonts w:hint="eastAsia"/>
          <w:sz w:val="30"/>
          <w:szCs w:val="30"/>
        </w:rPr>
        <w:t>号）第二十一条第二款规定：护理人员有收入的，参照误工费的规定计算；护理人员没有收入或者雇佣护工的，参照当地护工从事同等级别护理的劳务报酬标准计算。护理人员原则上为一人，但医疗机构或者鉴定机构有明确意见的，可以参照确定护理人员人数。李某</w:t>
      </w:r>
      <w:r>
        <w:rPr>
          <w:rFonts w:hint="eastAsia"/>
          <w:sz w:val="30"/>
          <w:szCs w:val="30"/>
        </w:rPr>
        <w:t>1</w:t>
      </w:r>
      <w:r>
        <w:rPr>
          <w:rFonts w:hint="eastAsia"/>
          <w:sz w:val="30"/>
          <w:szCs w:val="30"/>
        </w:rPr>
        <w:t>主张应当按照两名护理人员赔偿护理费，但未就此提供医疗机构或者鉴定机构的明确意见，故原审法院对护理费的认定与上述司法解释相符。第四，律师代理费属于当事人诉讼产生的成本，不属于医疗损害纠纷中产生的必然</w:t>
      </w:r>
      <w:r>
        <w:rPr>
          <w:rFonts w:hint="eastAsia"/>
          <w:sz w:val="30"/>
          <w:szCs w:val="30"/>
        </w:rPr>
        <w:t>损失，且相关法律法规对于人身损害的赔偿范围并不包括该费用，李某</w:t>
      </w:r>
      <w:r>
        <w:rPr>
          <w:rFonts w:hint="eastAsia"/>
          <w:sz w:val="30"/>
          <w:szCs w:val="30"/>
        </w:rPr>
        <w:t>1</w:t>
      </w:r>
      <w:r>
        <w:rPr>
          <w:rFonts w:hint="eastAsia"/>
          <w:sz w:val="30"/>
          <w:szCs w:val="30"/>
        </w:rPr>
        <w:t>申请再审主张律师代理费无事实及法律依据，本院不予支持。综上，李某</w:t>
      </w:r>
      <w:r>
        <w:rPr>
          <w:rFonts w:hint="eastAsia"/>
          <w:sz w:val="30"/>
          <w:szCs w:val="30"/>
        </w:rPr>
        <w:t>1</w:t>
      </w:r>
      <w:r>
        <w:rPr>
          <w:rFonts w:hint="eastAsia"/>
          <w:sz w:val="30"/>
          <w:szCs w:val="30"/>
        </w:rPr>
        <w:t>的再审申请不符合《中华人民共和国民事诉讼法》第二百条第二项规定的情形。</w:t>
      </w:r>
    </w:p>
    <w:p w:rsidR="00000000" w:rsidRDefault="00BC36A8">
      <w:pPr>
        <w:spacing w:line="500" w:lineRule="atLeast"/>
        <w:ind w:firstLine="600"/>
        <w:divId w:val="1184782173"/>
        <w:rPr>
          <w:rFonts w:hint="eastAsia"/>
          <w:sz w:val="30"/>
          <w:szCs w:val="30"/>
        </w:rPr>
      </w:pPr>
      <w:r>
        <w:rPr>
          <w:rFonts w:hint="eastAsia"/>
          <w:sz w:val="30"/>
          <w:szCs w:val="30"/>
        </w:rPr>
        <w:t>依照《中华人民共和国民事诉讼法》第二百零四条第一款，《最高人民法院关于适用〈中华人民共和国民事诉讼法〉的解释》第三百九十五条第二款规定，裁定如下：</w:t>
      </w:r>
    </w:p>
    <w:p w:rsidR="00000000" w:rsidRDefault="00BC36A8">
      <w:pPr>
        <w:spacing w:line="500" w:lineRule="atLeast"/>
        <w:ind w:firstLine="600"/>
        <w:divId w:val="1009673109"/>
        <w:rPr>
          <w:rFonts w:hint="eastAsia"/>
          <w:sz w:val="30"/>
          <w:szCs w:val="30"/>
        </w:rPr>
      </w:pPr>
      <w:r>
        <w:rPr>
          <w:rFonts w:hint="eastAsia"/>
          <w:sz w:val="30"/>
          <w:szCs w:val="30"/>
        </w:rPr>
        <w:t>驳回李某</w:t>
      </w:r>
      <w:r>
        <w:rPr>
          <w:rFonts w:hint="eastAsia"/>
          <w:sz w:val="30"/>
          <w:szCs w:val="30"/>
        </w:rPr>
        <w:t>1</w:t>
      </w:r>
      <w:r>
        <w:rPr>
          <w:rFonts w:hint="eastAsia"/>
          <w:sz w:val="30"/>
          <w:szCs w:val="30"/>
        </w:rPr>
        <w:t>的再审申请。</w:t>
      </w:r>
    </w:p>
    <w:p w:rsidR="00000000" w:rsidRDefault="00BC36A8">
      <w:pPr>
        <w:spacing w:line="500" w:lineRule="atLeast"/>
        <w:jc w:val="right"/>
        <w:divId w:val="32074784"/>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李　　　　　李</w:t>
      </w:r>
    </w:p>
    <w:p w:rsidR="00000000" w:rsidRDefault="00BC36A8">
      <w:pPr>
        <w:spacing w:line="500" w:lineRule="atLeast"/>
        <w:jc w:val="right"/>
        <w:divId w:val="564297671"/>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张　　熙　　坤</w:t>
      </w:r>
    </w:p>
    <w:p w:rsidR="00000000" w:rsidRDefault="00BC36A8">
      <w:pPr>
        <w:spacing w:line="500" w:lineRule="atLeast"/>
        <w:jc w:val="right"/>
        <w:divId w:val="557132536"/>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夏迪娅·吾甫尔</w:t>
      </w:r>
    </w:p>
    <w:p w:rsidR="00000000" w:rsidRDefault="00BC36A8">
      <w:pPr>
        <w:spacing w:line="500" w:lineRule="atLeast"/>
        <w:jc w:val="right"/>
        <w:divId w:val="2011249343"/>
        <w:rPr>
          <w:rFonts w:hint="eastAsia"/>
          <w:sz w:val="30"/>
          <w:szCs w:val="30"/>
        </w:rPr>
      </w:pPr>
      <w:r>
        <w:rPr>
          <w:rFonts w:hint="eastAsia"/>
          <w:sz w:val="30"/>
          <w:szCs w:val="30"/>
        </w:rPr>
        <w:t>二〇二一年六月七日</w:t>
      </w:r>
    </w:p>
    <w:p w:rsidR="00000000" w:rsidRDefault="00BC36A8">
      <w:pPr>
        <w:spacing w:line="500" w:lineRule="atLeast"/>
        <w:jc w:val="right"/>
        <w:divId w:val="1221139821"/>
        <w:rPr>
          <w:rFonts w:hint="eastAsia"/>
          <w:sz w:val="30"/>
          <w:szCs w:val="30"/>
        </w:rPr>
      </w:pPr>
      <w:r>
        <w:rPr>
          <w:rFonts w:hint="eastAsia"/>
          <w:sz w:val="30"/>
          <w:szCs w:val="30"/>
        </w:rPr>
        <w:t>法官助理　王　　秋　　琼</w:t>
      </w:r>
    </w:p>
    <w:p w:rsidR="00000000" w:rsidRDefault="00BC36A8">
      <w:pPr>
        <w:spacing w:line="500" w:lineRule="atLeast"/>
        <w:jc w:val="right"/>
        <w:divId w:val="1717852511"/>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叶　　雨　　薇</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36A8" w:rsidRDefault="00BC36A8" w:rsidP="00BC36A8">
      <w:r>
        <w:separator/>
      </w:r>
    </w:p>
  </w:endnote>
  <w:endnote w:type="continuationSeparator" w:id="0">
    <w:p w:rsidR="00BC36A8" w:rsidRDefault="00BC36A8" w:rsidP="00BC3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36A8" w:rsidRDefault="00BC36A8" w:rsidP="00BC36A8">
      <w:r>
        <w:separator/>
      </w:r>
    </w:p>
  </w:footnote>
  <w:footnote w:type="continuationSeparator" w:id="0">
    <w:p w:rsidR="00BC36A8" w:rsidRDefault="00BC36A8" w:rsidP="00BC36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C36A8"/>
    <w:rsid w:val="00BC3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BC36A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C36A8"/>
    <w:rPr>
      <w:rFonts w:ascii="宋体" w:eastAsia="宋体" w:hAnsi="宋体" w:cs="宋体"/>
      <w:sz w:val="18"/>
      <w:szCs w:val="18"/>
    </w:rPr>
  </w:style>
  <w:style w:type="paragraph" w:styleId="a6">
    <w:name w:val="footer"/>
    <w:basedOn w:val="a"/>
    <w:link w:val="a7"/>
    <w:uiPriority w:val="99"/>
    <w:unhideWhenUsed/>
    <w:rsid w:val="00BC36A8"/>
    <w:pPr>
      <w:tabs>
        <w:tab w:val="center" w:pos="4153"/>
        <w:tab w:val="right" w:pos="8306"/>
      </w:tabs>
      <w:snapToGrid w:val="0"/>
    </w:pPr>
    <w:rPr>
      <w:sz w:val="18"/>
      <w:szCs w:val="18"/>
    </w:rPr>
  </w:style>
  <w:style w:type="character" w:customStyle="1" w:styleId="a7">
    <w:name w:val="页脚 字符"/>
    <w:basedOn w:val="a0"/>
    <w:link w:val="a6"/>
    <w:uiPriority w:val="99"/>
    <w:rsid w:val="00BC36A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2201">
      <w:marLeft w:val="0"/>
      <w:marRight w:val="0"/>
      <w:marTop w:val="10"/>
      <w:marBottom w:val="10"/>
      <w:divBdr>
        <w:top w:val="none" w:sz="0" w:space="0" w:color="auto"/>
        <w:left w:val="none" w:sz="0" w:space="0" w:color="auto"/>
        <w:bottom w:val="none" w:sz="0" w:space="0" w:color="auto"/>
        <w:right w:val="none" w:sz="0" w:space="0" w:color="auto"/>
      </w:divBdr>
    </w:div>
    <w:div w:id="32074784">
      <w:marLeft w:val="0"/>
      <w:marRight w:val="720"/>
      <w:marTop w:val="10"/>
      <w:marBottom w:val="10"/>
      <w:divBdr>
        <w:top w:val="none" w:sz="0" w:space="0" w:color="auto"/>
        <w:left w:val="none" w:sz="0" w:space="0" w:color="auto"/>
        <w:bottom w:val="none" w:sz="0" w:space="0" w:color="auto"/>
        <w:right w:val="none" w:sz="0" w:space="0" w:color="auto"/>
      </w:divBdr>
    </w:div>
    <w:div w:id="418526006">
      <w:marLeft w:val="0"/>
      <w:marRight w:val="0"/>
      <w:marTop w:val="10"/>
      <w:marBottom w:val="10"/>
      <w:divBdr>
        <w:top w:val="none" w:sz="0" w:space="0" w:color="auto"/>
        <w:left w:val="none" w:sz="0" w:space="0" w:color="auto"/>
        <w:bottom w:val="none" w:sz="0" w:space="0" w:color="auto"/>
        <w:right w:val="none" w:sz="0" w:space="0" w:color="auto"/>
      </w:divBdr>
    </w:div>
    <w:div w:id="443500452">
      <w:marLeft w:val="0"/>
      <w:marRight w:val="0"/>
      <w:marTop w:val="10"/>
      <w:marBottom w:val="10"/>
      <w:divBdr>
        <w:top w:val="none" w:sz="0" w:space="0" w:color="auto"/>
        <w:left w:val="none" w:sz="0" w:space="0" w:color="auto"/>
        <w:bottom w:val="none" w:sz="0" w:space="0" w:color="auto"/>
        <w:right w:val="none" w:sz="0" w:space="0" w:color="auto"/>
      </w:divBdr>
    </w:div>
    <w:div w:id="464587605">
      <w:marLeft w:val="0"/>
      <w:marRight w:val="0"/>
      <w:marTop w:val="10"/>
      <w:marBottom w:val="10"/>
      <w:divBdr>
        <w:top w:val="none" w:sz="0" w:space="0" w:color="auto"/>
        <w:left w:val="none" w:sz="0" w:space="0" w:color="auto"/>
        <w:bottom w:val="none" w:sz="0" w:space="0" w:color="auto"/>
        <w:right w:val="none" w:sz="0" w:space="0" w:color="auto"/>
      </w:divBdr>
    </w:div>
    <w:div w:id="540288321">
      <w:marLeft w:val="0"/>
      <w:marRight w:val="0"/>
      <w:marTop w:val="10"/>
      <w:marBottom w:val="10"/>
      <w:divBdr>
        <w:top w:val="none" w:sz="0" w:space="0" w:color="auto"/>
        <w:left w:val="none" w:sz="0" w:space="0" w:color="auto"/>
        <w:bottom w:val="none" w:sz="0" w:space="0" w:color="auto"/>
        <w:right w:val="none" w:sz="0" w:space="0" w:color="auto"/>
      </w:divBdr>
    </w:div>
    <w:div w:id="557132536">
      <w:marLeft w:val="0"/>
      <w:marRight w:val="720"/>
      <w:marTop w:val="10"/>
      <w:marBottom w:val="10"/>
      <w:divBdr>
        <w:top w:val="none" w:sz="0" w:space="0" w:color="auto"/>
        <w:left w:val="none" w:sz="0" w:space="0" w:color="auto"/>
        <w:bottom w:val="none" w:sz="0" w:space="0" w:color="auto"/>
        <w:right w:val="none" w:sz="0" w:space="0" w:color="auto"/>
      </w:divBdr>
    </w:div>
    <w:div w:id="564297671">
      <w:marLeft w:val="0"/>
      <w:marRight w:val="720"/>
      <w:marTop w:val="10"/>
      <w:marBottom w:val="10"/>
      <w:divBdr>
        <w:top w:val="none" w:sz="0" w:space="0" w:color="auto"/>
        <w:left w:val="none" w:sz="0" w:space="0" w:color="auto"/>
        <w:bottom w:val="none" w:sz="0" w:space="0" w:color="auto"/>
        <w:right w:val="none" w:sz="0" w:space="0" w:color="auto"/>
      </w:divBdr>
    </w:div>
    <w:div w:id="710494067">
      <w:marLeft w:val="0"/>
      <w:marRight w:val="0"/>
      <w:marTop w:val="10"/>
      <w:marBottom w:val="10"/>
      <w:divBdr>
        <w:top w:val="none" w:sz="0" w:space="0" w:color="auto"/>
        <w:left w:val="none" w:sz="0" w:space="0" w:color="auto"/>
        <w:bottom w:val="none" w:sz="0" w:space="0" w:color="auto"/>
        <w:right w:val="none" w:sz="0" w:space="0" w:color="auto"/>
      </w:divBdr>
    </w:div>
    <w:div w:id="752430472">
      <w:marLeft w:val="0"/>
      <w:marRight w:val="0"/>
      <w:marTop w:val="10"/>
      <w:marBottom w:val="10"/>
      <w:divBdr>
        <w:top w:val="none" w:sz="0" w:space="0" w:color="auto"/>
        <w:left w:val="none" w:sz="0" w:space="0" w:color="auto"/>
        <w:bottom w:val="none" w:sz="0" w:space="0" w:color="auto"/>
        <w:right w:val="none" w:sz="0" w:space="0" w:color="auto"/>
      </w:divBdr>
    </w:div>
    <w:div w:id="848643241">
      <w:marLeft w:val="0"/>
      <w:marRight w:val="0"/>
      <w:marTop w:val="10"/>
      <w:marBottom w:val="10"/>
      <w:divBdr>
        <w:top w:val="none" w:sz="0" w:space="0" w:color="auto"/>
        <w:left w:val="none" w:sz="0" w:space="0" w:color="auto"/>
        <w:bottom w:val="none" w:sz="0" w:space="0" w:color="auto"/>
        <w:right w:val="none" w:sz="0" w:space="0" w:color="auto"/>
      </w:divBdr>
    </w:div>
    <w:div w:id="977807901">
      <w:marLeft w:val="0"/>
      <w:marRight w:val="0"/>
      <w:marTop w:val="10"/>
      <w:marBottom w:val="10"/>
      <w:divBdr>
        <w:top w:val="none" w:sz="0" w:space="0" w:color="auto"/>
        <w:left w:val="none" w:sz="0" w:space="0" w:color="auto"/>
        <w:bottom w:val="none" w:sz="0" w:space="0" w:color="auto"/>
        <w:right w:val="none" w:sz="0" w:space="0" w:color="auto"/>
      </w:divBdr>
    </w:div>
    <w:div w:id="1009673109">
      <w:marLeft w:val="0"/>
      <w:marRight w:val="0"/>
      <w:marTop w:val="10"/>
      <w:marBottom w:val="10"/>
      <w:divBdr>
        <w:top w:val="none" w:sz="0" w:space="0" w:color="auto"/>
        <w:left w:val="none" w:sz="0" w:space="0" w:color="auto"/>
        <w:bottom w:val="none" w:sz="0" w:space="0" w:color="auto"/>
        <w:right w:val="none" w:sz="0" w:space="0" w:color="auto"/>
      </w:divBdr>
    </w:div>
    <w:div w:id="1129518695">
      <w:marLeft w:val="0"/>
      <w:marRight w:val="0"/>
      <w:marTop w:val="10"/>
      <w:marBottom w:val="10"/>
      <w:divBdr>
        <w:top w:val="none" w:sz="0" w:space="0" w:color="auto"/>
        <w:left w:val="none" w:sz="0" w:space="0" w:color="auto"/>
        <w:bottom w:val="none" w:sz="0" w:space="0" w:color="auto"/>
        <w:right w:val="none" w:sz="0" w:space="0" w:color="auto"/>
      </w:divBdr>
    </w:div>
    <w:div w:id="1176385745">
      <w:marLeft w:val="0"/>
      <w:marRight w:val="0"/>
      <w:marTop w:val="10"/>
      <w:marBottom w:val="10"/>
      <w:divBdr>
        <w:top w:val="none" w:sz="0" w:space="0" w:color="auto"/>
        <w:left w:val="none" w:sz="0" w:space="0" w:color="auto"/>
        <w:bottom w:val="none" w:sz="0" w:space="0" w:color="auto"/>
        <w:right w:val="none" w:sz="0" w:space="0" w:color="auto"/>
      </w:divBdr>
    </w:div>
    <w:div w:id="1184782173">
      <w:marLeft w:val="0"/>
      <w:marRight w:val="0"/>
      <w:marTop w:val="10"/>
      <w:marBottom w:val="10"/>
      <w:divBdr>
        <w:top w:val="none" w:sz="0" w:space="0" w:color="auto"/>
        <w:left w:val="none" w:sz="0" w:space="0" w:color="auto"/>
        <w:bottom w:val="none" w:sz="0" w:space="0" w:color="auto"/>
        <w:right w:val="none" w:sz="0" w:space="0" w:color="auto"/>
      </w:divBdr>
    </w:div>
    <w:div w:id="1189441820">
      <w:marLeft w:val="0"/>
      <w:marRight w:val="0"/>
      <w:marTop w:val="10"/>
      <w:marBottom w:val="10"/>
      <w:divBdr>
        <w:top w:val="none" w:sz="0" w:space="0" w:color="auto"/>
        <w:left w:val="none" w:sz="0" w:space="0" w:color="auto"/>
        <w:bottom w:val="none" w:sz="0" w:space="0" w:color="auto"/>
        <w:right w:val="none" w:sz="0" w:space="0" w:color="auto"/>
      </w:divBdr>
    </w:div>
    <w:div w:id="1221139821">
      <w:marLeft w:val="0"/>
      <w:marRight w:val="720"/>
      <w:marTop w:val="10"/>
      <w:marBottom w:val="10"/>
      <w:divBdr>
        <w:top w:val="none" w:sz="0" w:space="0" w:color="auto"/>
        <w:left w:val="none" w:sz="0" w:space="0" w:color="auto"/>
        <w:bottom w:val="none" w:sz="0" w:space="0" w:color="auto"/>
        <w:right w:val="none" w:sz="0" w:space="0" w:color="auto"/>
      </w:divBdr>
    </w:div>
    <w:div w:id="1352105882">
      <w:marLeft w:val="0"/>
      <w:marRight w:val="0"/>
      <w:marTop w:val="10"/>
      <w:marBottom w:val="10"/>
      <w:divBdr>
        <w:top w:val="none" w:sz="0" w:space="0" w:color="auto"/>
        <w:left w:val="none" w:sz="0" w:space="0" w:color="auto"/>
        <w:bottom w:val="none" w:sz="0" w:space="0" w:color="auto"/>
        <w:right w:val="none" w:sz="0" w:space="0" w:color="auto"/>
      </w:divBdr>
    </w:div>
    <w:div w:id="1534609757">
      <w:marLeft w:val="0"/>
      <w:marRight w:val="0"/>
      <w:marTop w:val="10"/>
      <w:marBottom w:val="10"/>
      <w:divBdr>
        <w:top w:val="none" w:sz="0" w:space="0" w:color="auto"/>
        <w:left w:val="none" w:sz="0" w:space="0" w:color="auto"/>
        <w:bottom w:val="none" w:sz="0" w:space="0" w:color="auto"/>
        <w:right w:val="none" w:sz="0" w:space="0" w:color="auto"/>
      </w:divBdr>
    </w:div>
    <w:div w:id="1717852511">
      <w:marLeft w:val="0"/>
      <w:marRight w:val="720"/>
      <w:marTop w:val="10"/>
      <w:marBottom w:val="10"/>
      <w:divBdr>
        <w:top w:val="none" w:sz="0" w:space="0" w:color="auto"/>
        <w:left w:val="none" w:sz="0" w:space="0" w:color="auto"/>
        <w:bottom w:val="none" w:sz="0" w:space="0" w:color="auto"/>
        <w:right w:val="none" w:sz="0" w:space="0" w:color="auto"/>
      </w:divBdr>
    </w:div>
    <w:div w:id="1811288520">
      <w:marLeft w:val="0"/>
      <w:marRight w:val="0"/>
      <w:marTop w:val="10"/>
      <w:marBottom w:val="10"/>
      <w:divBdr>
        <w:top w:val="none" w:sz="0" w:space="0" w:color="auto"/>
        <w:left w:val="none" w:sz="0" w:space="0" w:color="auto"/>
        <w:bottom w:val="none" w:sz="0" w:space="0" w:color="auto"/>
        <w:right w:val="none" w:sz="0" w:space="0" w:color="auto"/>
      </w:divBdr>
    </w:div>
    <w:div w:id="1877893147">
      <w:marLeft w:val="0"/>
      <w:marRight w:val="0"/>
      <w:marTop w:val="10"/>
      <w:marBottom w:val="10"/>
      <w:divBdr>
        <w:top w:val="none" w:sz="0" w:space="0" w:color="auto"/>
        <w:left w:val="none" w:sz="0" w:space="0" w:color="auto"/>
        <w:bottom w:val="none" w:sz="0" w:space="0" w:color="auto"/>
        <w:right w:val="none" w:sz="0" w:space="0" w:color="auto"/>
      </w:divBdr>
    </w:div>
    <w:div w:id="1896239308">
      <w:marLeft w:val="0"/>
      <w:marRight w:val="0"/>
      <w:marTop w:val="10"/>
      <w:marBottom w:val="10"/>
      <w:divBdr>
        <w:top w:val="none" w:sz="0" w:space="0" w:color="auto"/>
        <w:left w:val="none" w:sz="0" w:space="0" w:color="auto"/>
        <w:bottom w:val="none" w:sz="0" w:space="0" w:color="auto"/>
        <w:right w:val="none" w:sz="0" w:space="0" w:color="auto"/>
      </w:divBdr>
    </w:div>
    <w:div w:id="1920870446">
      <w:marLeft w:val="0"/>
      <w:marRight w:val="0"/>
      <w:marTop w:val="10"/>
      <w:marBottom w:val="10"/>
      <w:divBdr>
        <w:top w:val="none" w:sz="0" w:space="0" w:color="auto"/>
        <w:left w:val="none" w:sz="0" w:space="0" w:color="auto"/>
        <w:bottom w:val="none" w:sz="0" w:space="0" w:color="auto"/>
        <w:right w:val="none" w:sz="0" w:space="0" w:color="auto"/>
      </w:divBdr>
    </w:div>
    <w:div w:id="1928492470">
      <w:marLeft w:val="0"/>
      <w:marRight w:val="0"/>
      <w:marTop w:val="10"/>
      <w:marBottom w:val="10"/>
      <w:divBdr>
        <w:top w:val="none" w:sz="0" w:space="0" w:color="auto"/>
        <w:left w:val="none" w:sz="0" w:space="0" w:color="auto"/>
        <w:bottom w:val="none" w:sz="0" w:space="0" w:color="auto"/>
        <w:right w:val="none" w:sz="0" w:space="0" w:color="auto"/>
      </w:divBdr>
    </w:div>
    <w:div w:id="1967614497">
      <w:marLeft w:val="0"/>
      <w:marRight w:val="0"/>
      <w:marTop w:val="10"/>
      <w:marBottom w:val="10"/>
      <w:divBdr>
        <w:top w:val="none" w:sz="0" w:space="0" w:color="auto"/>
        <w:left w:val="none" w:sz="0" w:space="0" w:color="auto"/>
        <w:bottom w:val="none" w:sz="0" w:space="0" w:color="auto"/>
        <w:right w:val="none" w:sz="0" w:space="0" w:color="auto"/>
      </w:divBdr>
    </w:div>
    <w:div w:id="2011249343">
      <w:marLeft w:val="0"/>
      <w:marRight w:val="720"/>
      <w:marTop w:val="10"/>
      <w:marBottom w:val="10"/>
      <w:divBdr>
        <w:top w:val="none" w:sz="0" w:space="0" w:color="auto"/>
        <w:left w:val="none" w:sz="0" w:space="0" w:color="auto"/>
        <w:bottom w:val="none" w:sz="0" w:space="0" w:color="auto"/>
        <w:right w:val="none" w:sz="0" w:space="0" w:color="auto"/>
      </w:divBdr>
    </w:div>
    <w:div w:id="2031642594">
      <w:marLeft w:val="0"/>
      <w:marRight w:val="0"/>
      <w:marTop w:val="10"/>
      <w:marBottom w:val="10"/>
      <w:divBdr>
        <w:top w:val="none" w:sz="0" w:space="0" w:color="auto"/>
        <w:left w:val="none" w:sz="0" w:space="0" w:color="auto"/>
        <w:bottom w:val="none" w:sz="0" w:space="0" w:color="auto"/>
        <w:right w:val="none" w:sz="0" w:space="0" w:color="auto"/>
      </w:divBdr>
    </w:div>
    <w:div w:id="209219397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489</Words>
  <Characters>2793</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2023-04-10T06:58:00Z</dcterms:created>
  <dcterms:modified xsi:type="dcterms:W3CDTF">2023-04-10T06:58:00Z</dcterms:modified>
</cp:coreProperties>
</file>