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C00A9">
      <w:pPr>
        <w:spacing w:line="500" w:lineRule="atLeast"/>
        <w:jc w:val="center"/>
        <w:divId w:val="1215577419"/>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2C00A9">
      <w:pPr>
        <w:spacing w:line="500" w:lineRule="atLeast"/>
        <w:jc w:val="center"/>
        <w:divId w:val="19955984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C00A9">
      <w:pPr>
        <w:spacing w:line="500" w:lineRule="atLeast"/>
        <w:jc w:val="right"/>
        <w:divId w:val="1421751643"/>
        <w:rPr>
          <w:rFonts w:hint="eastAsia"/>
          <w:sz w:val="30"/>
          <w:szCs w:val="30"/>
        </w:rPr>
      </w:pPr>
      <w:r>
        <w:rPr>
          <w:rFonts w:hint="eastAsia"/>
          <w:sz w:val="30"/>
          <w:szCs w:val="30"/>
        </w:rPr>
        <w:t>（</w:t>
      </w:r>
      <w:r>
        <w:rPr>
          <w:rFonts w:hint="eastAsia"/>
          <w:sz w:val="30"/>
          <w:szCs w:val="30"/>
        </w:rPr>
        <w:t>2021</w:t>
      </w:r>
      <w:r>
        <w:rPr>
          <w:rFonts w:hint="eastAsia"/>
          <w:sz w:val="30"/>
          <w:szCs w:val="30"/>
        </w:rPr>
        <w:t>）冀民申</w:t>
      </w:r>
      <w:r>
        <w:rPr>
          <w:rFonts w:hint="eastAsia"/>
          <w:sz w:val="30"/>
          <w:szCs w:val="30"/>
        </w:rPr>
        <w:t>1063</w:t>
      </w:r>
      <w:r>
        <w:rPr>
          <w:rFonts w:hint="eastAsia"/>
          <w:sz w:val="30"/>
          <w:szCs w:val="30"/>
        </w:rPr>
        <w:t>号</w:t>
      </w:r>
    </w:p>
    <w:p w:rsidR="00000000" w:rsidRDefault="002C00A9">
      <w:pPr>
        <w:spacing w:line="500" w:lineRule="atLeast"/>
        <w:ind w:firstLine="600"/>
        <w:divId w:val="219288078"/>
        <w:rPr>
          <w:rFonts w:hint="eastAsia"/>
          <w:sz w:val="30"/>
          <w:szCs w:val="30"/>
        </w:rPr>
      </w:pPr>
      <w:r>
        <w:rPr>
          <w:rFonts w:hint="eastAsia"/>
          <w:sz w:val="30"/>
          <w:szCs w:val="30"/>
        </w:rPr>
        <w:t>再审申请人（一审原告、二审上诉人）：毕香兰，女，</w:t>
      </w:r>
      <w:r>
        <w:rPr>
          <w:rFonts w:hint="eastAsia"/>
          <w:sz w:val="30"/>
          <w:szCs w:val="30"/>
        </w:rPr>
        <w:t>1966</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日出生，汉族，住河北省辛集市。</w:t>
      </w:r>
    </w:p>
    <w:p w:rsidR="00000000" w:rsidRDefault="002C00A9">
      <w:pPr>
        <w:spacing w:line="500" w:lineRule="atLeast"/>
        <w:ind w:firstLine="600"/>
        <w:divId w:val="971521984"/>
        <w:rPr>
          <w:rFonts w:hint="eastAsia"/>
          <w:sz w:val="30"/>
          <w:szCs w:val="30"/>
        </w:rPr>
      </w:pPr>
      <w:r>
        <w:rPr>
          <w:rFonts w:hint="eastAsia"/>
          <w:sz w:val="30"/>
          <w:szCs w:val="30"/>
        </w:rPr>
        <w:t>委托诉讼代理人：王瑞涛，河北东尚律师事务所律师。</w:t>
      </w:r>
    </w:p>
    <w:p w:rsidR="00000000" w:rsidRDefault="002C00A9">
      <w:pPr>
        <w:spacing w:line="500" w:lineRule="atLeast"/>
        <w:ind w:firstLine="600"/>
        <w:divId w:val="1241982751"/>
        <w:rPr>
          <w:rFonts w:hint="eastAsia"/>
          <w:sz w:val="30"/>
          <w:szCs w:val="30"/>
        </w:rPr>
      </w:pPr>
      <w:r>
        <w:rPr>
          <w:rFonts w:hint="eastAsia"/>
          <w:sz w:val="30"/>
          <w:szCs w:val="30"/>
        </w:rPr>
        <w:t>被申请人（一审被告、二审被上诉人）：辛集市第二医院，住所地辛集市建设街东段</w:t>
      </w:r>
      <w:r>
        <w:rPr>
          <w:rFonts w:hint="eastAsia"/>
          <w:sz w:val="30"/>
          <w:szCs w:val="30"/>
        </w:rPr>
        <w:t>57</w:t>
      </w:r>
      <w:r>
        <w:rPr>
          <w:rFonts w:hint="eastAsia"/>
          <w:sz w:val="30"/>
          <w:szCs w:val="30"/>
        </w:rPr>
        <w:t>号。</w:t>
      </w:r>
    </w:p>
    <w:p w:rsidR="00000000" w:rsidRDefault="002C00A9">
      <w:pPr>
        <w:spacing w:line="500" w:lineRule="atLeast"/>
        <w:ind w:firstLine="600"/>
        <w:divId w:val="1831170953"/>
        <w:rPr>
          <w:rFonts w:hint="eastAsia"/>
          <w:sz w:val="30"/>
          <w:szCs w:val="30"/>
        </w:rPr>
      </w:pPr>
      <w:r>
        <w:rPr>
          <w:rFonts w:hint="eastAsia"/>
          <w:sz w:val="30"/>
          <w:szCs w:val="30"/>
        </w:rPr>
        <w:t>法定代表人：焦汝泉，该院院长。</w:t>
      </w:r>
    </w:p>
    <w:p w:rsidR="00000000" w:rsidRDefault="002C00A9">
      <w:pPr>
        <w:spacing w:line="500" w:lineRule="atLeast"/>
        <w:ind w:firstLine="600"/>
        <w:divId w:val="2116096484"/>
        <w:rPr>
          <w:rFonts w:hint="eastAsia"/>
          <w:sz w:val="30"/>
          <w:szCs w:val="30"/>
        </w:rPr>
      </w:pPr>
      <w:r>
        <w:rPr>
          <w:rFonts w:hint="eastAsia"/>
          <w:sz w:val="30"/>
          <w:szCs w:val="30"/>
        </w:rPr>
        <w:t>委托诉讼代理人</w:t>
      </w:r>
      <w:r>
        <w:rPr>
          <w:rFonts w:hint="eastAsia"/>
          <w:sz w:val="30"/>
          <w:szCs w:val="30"/>
        </w:rPr>
        <w:t>:</w:t>
      </w:r>
      <w:r>
        <w:rPr>
          <w:rFonts w:hint="eastAsia"/>
          <w:sz w:val="30"/>
          <w:szCs w:val="30"/>
        </w:rPr>
        <w:t>强玉鹏，该院外联办主任</w:t>
      </w:r>
    </w:p>
    <w:p w:rsidR="00000000" w:rsidRDefault="002C00A9">
      <w:pPr>
        <w:spacing w:line="500" w:lineRule="atLeast"/>
        <w:ind w:firstLine="600"/>
        <w:divId w:val="1821580559"/>
        <w:rPr>
          <w:rFonts w:hint="eastAsia"/>
          <w:sz w:val="30"/>
          <w:szCs w:val="30"/>
        </w:rPr>
      </w:pPr>
      <w:r>
        <w:rPr>
          <w:rFonts w:hint="eastAsia"/>
          <w:sz w:val="30"/>
          <w:szCs w:val="30"/>
        </w:rPr>
        <w:t>一审第三人：中国太平洋财产保险股份有限公司辛集支公司，住所地辛集市市府大街东段南侧</w:t>
      </w:r>
      <w:r>
        <w:rPr>
          <w:rFonts w:hint="eastAsia"/>
          <w:sz w:val="30"/>
          <w:szCs w:val="30"/>
        </w:rPr>
        <w:t>24</w:t>
      </w:r>
      <w:r>
        <w:rPr>
          <w:rFonts w:hint="eastAsia"/>
          <w:sz w:val="30"/>
          <w:szCs w:val="30"/>
        </w:rPr>
        <w:t>号莱特花园。</w:t>
      </w:r>
    </w:p>
    <w:p w:rsidR="00000000" w:rsidRDefault="002C00A9">
      <w:pPr>
        <w:spacing w:line="500" w:lineRule="atLeast"/>
        <w:ind w:firstLine="600"/>
        <w:divId w:val="1703165695"/>
        <w:rPr>
          <w:rFonts w:hint="eastAsia"/>
          <w:sz w:val="30"/>
          <w:szCs w:val="30"/>
        </w:rPr>
      </w:pPr>
      <w:r>
        <w:rPr>
          <w:rFonts w:hint="eastAsia"/>
          <w:sz w:val="30"/>
          <w:szCs w:val="30"/>
        </w:rPr>
        <w:t>负责人：戴明征，该公司总经理。</w:t>
      </w:r>
    </w:p>
    <w:p w:rsidR="00000000" w:rsidRDefault="002C00A9">
      <w:pPr>
        <w:spacing w:line="500" w:lineRule="atLeast"/>
        <w:ind w:firstLine="600"/>
        <w:divId w:val="1512984900"/>
        <w:rPr>
          <w:rFonts w:hint="eastAsia"/>
          <w:sz w:val="30"/>
          <w:szCs w:val="30"/>
        </w:rPr>
      </w:pPr>
      <w:r>
        <w:rPr>
          <w:rFonts w:hint="eastAsia"/>
          <w:sz w:val="30"/>
          <w:szCs w:val="30"/>
        </w:rPr>
        <w:t>再审申请人毕香兰因与被申请人辛集市第二医院及一审第三人中国太平洋财产保险股份有限公司辛集支公司医疗损害责任纠纷一案，不服河北省石家庄市中级人民法院（</w:t>
      </w:r>
      <w:r>
        <w:rPr>
          <w:rFonts w:hint="eastAsia"/>
          <w:sz w:val="30"/>
          <w:szCs w:val="30"/>
        </w:rPr>
        <w:t>2020</w:t>
      </w:r>
      <w:r>
        <w:rPr>
          <w:rFonts w:hint="eastAsia"/>
          <w:sz w:val="30"/>
          <w:szCs w:val="30"/>
        </w:rPr>
        <w:t>）冀</w:t>
      </w:r>
      <w:r>
        <w:rPr>
          <w:rFonts w:hint="eastAsia"/>
          <w:sz w:val="30"/>
          <w:szCs w:val="30"/>
        </w:rPr>
        <w:t>01</w:t>
      </w:r>
      <w:r>
        <w:rPr>
          <w:rFonts w:hint="eastAsia"/>
          <w:sz w:val="30"/>
          <w:szCs w:val="30"/>
        </w:rPr>
        <w:t>民终</w:t>
      </w:r>
      <w:r>
        <w:rPr>
          <w:rFonts w:hint="eastAsia"/>
          <w:sz w:val="30"/>
          <w:szCs w:val="30"/>
        </w:rPr>
        <w:t>1463</w:t>
      </w:r>
      <w:r>
        <w:rPr>
          <w:rFonts w:hint="eastAsia"/>
          <w:sz w:val="30"/>
          <w:szCs w:val="30"/>
        </w:rPr>
        <w:t>号民事判决，向本院申请再审。本院依法组成合议庭进行了审查，现已审查终结。</w:t>
      </w:r>
    </w:p>
    <w:p w:rsidR="00000000" w:rsidRDefault="002C00A9">
      <w:pPr>
        <w:spacing w:line="500" w:lineRule="atLeast"/>
        <w:ind w:firstLine="600"/>
        <w:divId w:val="797995591"/>
        <w:rPr>
          <w:rFonts w:hint="eastAsia"/>
          <w:sz w:val="30"/>
          <w:szCs w:val="30"/>
        </w:rPr>
      </w:pPr>
      <w:r>
        <w:rPr>
          <w:rFonts w:hint="eastAsia"/>
          <w:sz w:val="30"/>
          <w:szCs w:val="30"/>
        </w:rPr>
        <w:t>毕香兰申请再审称，</w:t>
      </w:r>
      <w:r>
        <w:rPr>
          <w:rFonts w:hint="eastAsia"/>
          <w:sz w:val="30"/>
          <w:szCs w:val="30"/>
        </w:rPr>
        <w:t>1.</w:t>
      </w:r>
      <w:r>
        <w:rPr>
          <w:rFonts w:hint="eastAsia"/>
          <w:sz w:val="30"/>
          <w:szCs w:val="30"/>
        </w:rPr>
        <w:t>现有新证据即</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辛集市卫生间健康局作出《关于毕香兰申请对第二医院行政处罚的答复》，该局先后组织专家对本案患者于建宁的病例进行讨论，结合两审法院判决，认定被申请人存在“未按规定填写病历、违反知情告知原则、医疗质量管理落实不到</w:t>
      </w:r>
      <w:r>
        <w:rPr>
          <w:rFonts w:hint="eastAsia"/>
          <w:sz w:val="30"/>
          <w:szCs w:val="30"/>
        </w:rPr>
        <w:t>位”三项关键问题。据此，应直接依法推定被申请人存在医疗过错，由被申请人承担赔偿责任。被申请人未填写《会诊记录》、《死亡记录》、《死亡病例讨论记录》，缺少与死亡有关的关键病历，系鉴定机构不予受理的原因之一。未填写《尸体解剖告知</w:t>
      </w:r>
      <w:r>
        <w:rPr>
          <w:rFonts w:hint="eastAsia"/>
          <w:sz w:val="30"/>
          <w:szCs w:val="30"/>
        </w:rPr>
        <w:lastRenderedPageBreak/>
        <w:t>书》，未告知申请人医疗纠纷处理方式，导致医疗过错鉴定因无解剖报告不能启动。</w:t>
      </w:r>
      <w:r>
        <w:rPr>
          <w:rFonts w:hint="eastAsia"/>
          <w:sz w:val="30"/>
          <w:szCs w:val="30"/>
        </w:rPr>
        <w:t>2.</w:t>
      </w:r>
      <w:r>
        <w:rPr>
          <w:rFonts w:hint="eastAsia"/>
          <w:sz w:val="30"/>
          <w:szCs w:val="30"/>
        </w:rPr>
        <w:t>一审法院未允许对被申请人提交的病历进行质证，漏判伪造病历，使用非卫生技术人员，并间接导致行政机关不敢作出与法院判决相悖的行政认定。被申请人伪造</w:t>
      </w:r>
      <w:r>
        <w:rPr>
          <w:rFonts w:hint="eastAsia"/>
          <w:sz w:val="30"/>
          <w:szCs w:val="30"/>
        </w:rPr>
        <w:t>201700523574</w:t>
      </w:r>
      <w:r>
        <w:rPr>
          <w:rFonts w:hint="eastAsia"/>
          <w:sz w:val="30"/>
          <w:szCs w:val="30"/>
        </w:rPr>
        <w:t>、</w:t>
      </w:r>
      <w:r>
        <w:rPr>
          <w:rFonts w:hint="eastAsia"/>
          <w:sz w:val="30"/>
          <w:szCs w:val="30"/>
        </w:rPr>
        <w:t>201700523575</w:t>
      </w:r>
      <w:r>
        <w:rPr>
          <w:rFonts w:hint="eastAsia"/>
          <w:sz w:val="30"/>
          <w:szCs w:val="30"/>
        </w:rPr>
        <w:t>号化验单、隐匿病历</w:t>
      </w:r>
      <w:r>
        <w:rPr>
          <w:rFonts w:hint="eastAsia"/>
          <w:sz w:val="30"/>
          <w:szCs w:val="30"/>
        </w:rPr>
        <w:t>（心电图）及血液透析收费票据，造成透析次数未能查清。主治医师魏颖系妇科医师，患者为肾病透析科患者，被申请人构成使用非卫生技术人员。综上，依据民诉法第</w:t>
      </w:r>
      <w:r>
        <w:rPr>
          <w:rFonts w:hint="eastAsia"/>
          <w:sz w:val="30"/>
          <w:szCs w:val="30"/>
        </w:rPr>
        <w:t>200</w:t>
      </w:r>
      <w:r>
        <w:rPr>
          <w:rFonts w:hint="eastAsia"/>
          <w:sz w:val="30"/>
          <w:szCs w:val="30"/>
        </w:rPr>
        <w:t>条第</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4</w:t>
      </w:r>
      <w:r>
        <w:rPr>
          <w:rFonts w:hint="eastAsia"/>
          <w:sz w:val="30"/>
          <w:szCs w:val="30"/>
        </w:rPr>
        <w:t>、</w:t>
      </w:r>
      <w:r>
        <w:rPr>
          <w:rFonts w:hint="eastAsia"/>
          <w:sz w:val="30"/>
          <w:szCs w:val="30"/>
        </w:rPr>
        <w:t>6</w:t>
      </w:r>
      <w:r>
        <w:rPr>
          <w:rFonts w:hint="eastAsia"/>
          <w:sz w:val="30"/>
          <w:szCs w:val="30"/>
        </w:rPr>
        <w:t>项之规定，申请再审。</w:t>
      </w:r>
    </w:p>
    <w:p w:rsidR="00000000" w:rsidRDefault="002C00A9">
      <w:pPr>
        <w:spacing w:line="500" w:lineRule="atLeast"/>
        <w:ind w:firstLine="600"/>
        <w:divId w:val="829448786"/>
        <w:rPr>
          <w:rFonts w:hint="eastAsia"/>
          <w:sz w:val="30"/>
          <w:szCs w:val="30"/>
        </w:rPr>
      </w:pPr>
      <w:r>
        <w:rPr>
          <w:rFonts w:hint="eastAsia"/>
          <w:sz w:val="30"/>
          <w:szCs w:val="30"/>
        </w:rPr>
        <w:t>本院经审查认为，根据《医疗事故处理条例》第十八条规定，医患双方对于患者不能确定或对死因有异议的应当在</w:t>
      </w:r>
      <w:r>
        <w:rPr>
          <w:rFonts w:hint="eastAsia"/>
          <w:sz w:val="30"/>
          <w:szCs w:val="30"/>
        </w:rPr>
        <w:t>48</w:t>
      </w:r>
      <w:r>
        <w:rPr>
          <w:rFonts w:hint="eastAsia"/>
          <w:sz w:val="30"/>
          <w:szCs w:val="30"/>
        </w:rPr>
        <w:t>小时内进行尸检。……尸检应当经死者近亲属同意并签字。本案中，申请人未提交证据证明其在患者于建宁死亡后，曾就其死亡原因向被申请人提出过异议，故申请人主张被申请人未履行尸检告知义务导致医疗过错鉴定无法启动，不能成立。申</w:t>
      </w:r>
      <w:r>
        <w:rPr>
          <w:rFonts w:hint="eastAsia"/>
          <w:sz w:val="30"/>
          <w:szCs w:val="30"/>
        </w:rPr>
        <w:t>请人的病历资料来源于被申请人，申请人提供的证据即被申请人的病历资料均已经双方质证，其在两审诉讼中均未提出被申请人存在伪造化验单，隐匿心电图和透析收费票据及使用非卫生技术人员问题，故一审法院不存在漏判和程序违法之处。申请人现有证据不足以证明被申请人在于建宁的诊疗及抢救过程中存在过错及过错推定的法定情形；其申请再审新提交的</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日辛集市卫生健康局《关于毕香兰申请对辛集市第二医院行政处罚的答复》载明，该局认为被申请人的病例不存在伪造行为；仅要求被申请人对相关问题进行整改。该答复并没有作出三项问题属于</w:t>
      </w:r>
      <w:r>
        <w:rPr>
          <w:rFonts w:hint="eastAsia"/>
          <w:sz w:val="30"/>
          <w:szCs w:val="30"/>
        </w:rPr>
        <w:t>医疗过错，与丁建宁死亡之间存在因果关系的相关认定，故该答复不足以推翻原判决。申请人的再审申</w:t>
      </w:r>
      <w:r>
        <w:rPr>
          <w:rFonts w:hint="eastAsia"/>
          <w:sz w:val="30"/>
          <w:szCs w:val="30"/>
        </w:rPr>
        <w:lastRenderedPageBreak/>
        <w:t>请不符合《中华人民共和国民事诉讼法》第二百条规定的情形。</w:t>
      </w:r>
    </w:p>
    <w:p w:rsidR="00000000" w:rsidRDefault="002C00A9">
      <w:pPr>
        <w:spacing w:line="500" w:lineRule="atLeast"/>
        <w:ind w:firstLine="600"/>
        <w:divId w:val="265427729"/>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2C00A9">
      <w:pPr>
        <w:spacing w:line="500" w:lineRule="atLeast"/>
        <w:ind w:firstLine="600"/>
        <w:divId w:val="2082367436"/>
        <w:rPr>
          <w:rFonts w:hint="eastAsia"/>
          <w:sz w:val="30"/>
          <w:szCs w:val="30"/>
        </w:rPr>
      </w:pPr>
      <w:r>
        <w:rPr>
          <w:rFonts w:hint="eastAsia"/>
          <w:sz w:val="30"/>
          <w:szCs w:val="30"/>
        </w:rPr>
        <w:t>驳回毕香兰的再审申请。</w:t>
      </w:r>
    </w:p>
    <w:p w:rsidR="00000000" w:rsidRDefault="002C00A9">
      <w:pPr>
        <w:spacing w:line="500" w:lineRule="atLeast"/>
        <w:jc w:val="right"/>
        <w:divId w:val="388846401"/>
        <w:rPr>
          <w:rFonts w:hint="eastAsia"/>
          <w:sz w:val="30"/>
          <w:szCs w:val="30"/>
        </w:rPr>
      </w:pPr>
      <w:r>
        <w:rPr>
          <w:rFonts w:hint="eastAsia"/>
          <w:sz w:val="30"/>
          <w:szCs w:val="30"/>
        </w:rPr>
        <w:t>审判长　　牛世红</w:t>
      </w:r>
    </w:p>
    <w:p w:rsidR="00000000" w:rsidRDefault="002C00A9">
      <w:pPr>
        <w:spacing w:line="500" w:lineRule="atLeast"/>
        <w:jc w:val="right"/>
        <w:divId w:val="2093815880"/>
        <w:rPr>
          <w:rFonts w:hint="eastAsia"/>
          <w:sz w:val="30"/>
          <w:szCs w:val="30"/>
        </w:rPr>
      </w:pPr>
      <w:r>
        <w:rPr>
          <w:rFonts w:hint="eastAsia"/>
          <w:sz w:val="30"/>
          <w:szCs w:val="30"/>
        </w:rPr>
        <w:t>审判员　　李京山</w:t>
      </w:r>
    </w:p>
    <w:p w:rsidR="00000000" w:rsidRDefault="002C00A9">
      <w:pPr>
        <w:spacing w:line="500" w:lineRule="atLeast"/>
        <w:jc w:val="right"/>
        <w:divId w:val="305860722"/>
        <w:rPr>
          <w:rFonts w:hint="eastAsia"/>
          <w:sz w:val="30"/>
          <w:szCs w:val="30"/>
        </w:rPr>
      </w:pPr>
      <w:r>
        <w:rPr>
          <w:rFonts w:hint="eastAsia"/>
          <w:sz w:val="30"/>
          <w:szCs w:val="30"/>
        </w:rPr>
        <w:t>审判员　　邢成思</w:t>
      </w:r>
    </w:p>
    <w:p w:rsidR="00000000" w:rsidRDefault="002C00A9">
      <w:pPr>
        <w:spacing w:line="500" w:lineRule="atLeast"/>
        <w:jc w:val="right"/>
        <w:divId w:val="2001813257"/>
        <w:rPr>
          <w:rFonts w:hint="eastAsia"/>
          <w:sz w:val="30"/>
          <w:szCs w:val="30"/>
        </w:rPr>
      </w:pPr>
      <w:r>
        <w:rPr>
          <w:rFonts w:hint="eastAsia"/>
          <w:sz w:val="30"/>
          <w:szCs w:val="30"/>
        </w:rPr>
        <w:t>二〇二一年四月二十九日</w:t>
      </w:r>
    </w:p>
    <w:p w:rsidR="00000000" w:rsidRDefault="002C00A9">
      <w:pPr>
        <w:spacing w:line="500" w:lineRule="atLeast"/>
        <w:jc w:val="right"/>
        <w:divId w:val="1152482498"/>
        <w:rPr>
          <w:rFonts w:hint="eastAsia"/>
          <w:sz w:val="30"/>
          <w:szCs w:val="30"/>
        </w:rPr>
      </w:pPr>
      <w:r>
        <w:rPr>
          <w:rFonts w:hint="eastAsia"/>
          <w:sz w:val="30"/>
          <w:szCs w:val="30"/>
        </w:rPr>
        <w:t>书记员　　聂文净</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0A9" w:rsidRDefault="002C00A9" w:rsidP="002C00A9">
      <w:r>
        <w:separator/>
      </w:r>
    </w:p>
  </w:endnote>
  <w:endnote w:type="continuationSeparator" w:id="0">
    <w:p w:rsidR="002C00A9" w:rsidRDefault="002C00A9" w:rsidP="002C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0A9" w:rsidRDefault="002C00A9" w:rsidP="002C00A9">
      <w:r>
        <w:separator/>
      </w:r>
    </w:p>
  </w:footnote>
  <w:footnote w:type="continuationSeparator" w:id="0">
    <w:p w:rsidR="002C00A9" w:rsidRDefault="002C00A9" w:rsidP="002C0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0A9"/>
    <w:rsid w:val="002C0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C00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00A9"/>
    <w:rPr>
      <w:rFonts w:ascii="宋体" w:eastAsia="宋体" w:hAnsi="宋体" w:cs="宋体"/>
      <w:sz w:val="18"/>
      <w:szCs w:val="18"/>
    </w:rPr>
  </w:style>
  <w:style w:type="paragraph" w:styleId="a6">
    <w:name w:val="footer"/>
    <w:basedOn w:val="a"/>
    <w:link w:val="a7"/>
    <w:uiPriority w:val="99"/>
    <w:unhideWhenUsed/>
    <w:rsid w:val="002C00A9"/>
    <w:pPr>
      <w:tabs>
        <w:tab w:val="center" w:pos="4153"/>
        <w:tab w:val="right" w:pos="8306"/>
      </w:tabs>
      <w:snapToGrid w:val="0"/>
    </w:pPr>
    <w:rPr>
      <w:sz w:val="18"/>
      <w:szCs w:val="18"/>
    </w:rPr>
  </w:style>
  <w:style w:type="character" w:customStyle="1" w:styleId="a7">
    <w:name w:val="页脚 字符"/>
    <w:basedOn w:val="a0"/>
    <w:link w:val="a6"/>
    <w:uiPriority w:val="99"/>
    <w:rsid w:val="002C00A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88078">
      <w:marLeft w:val="0"/>
      <w:marRight w:val="0"/>
      <w:marTop w:val="10"/>
      <w:marBottom w:val="10"/>
      <w:divBdr>
        <w:top w:val="none" w:sz="0" w:space="0" w:color="auto"/>
        <w:left w:val="none" w:sz="0" w:space="0" w:color="auto"/>
        <w:bottom w:val="none" w:sz="0" w:space="0" w:color="auto"/>
        <w:right w:val="none" w:sz="0" w:space="0" w:color="auto"/>
      </w:divBdr>
    </w:div>
    <w:div w:id="265427729">
      <w:marLeft w:val="0"/>
      <w:marRight w:val="0"/>
      <w:marTop w:val="10"/>
      <w:marBottom w:val="10"/>
      <w:divBdr>
        <w:top w:val="none" w:sz="0" w:space="0" w:color="auto"/>
        <w:left w:val="none" w:sz="0" w:space="0" w:color="auto"/>
        <w:bottom w:val="none" w:sz="0" w:space="0" w:color="auto"/>
        <w:right w:val="none" w:sz="0" w:space="0" w:color="auto"/>
      </w:divBdr>
    </w:div>
    <w:div w:id="305860722">
      <w:marLeft w:val="0"/>
      <w:marRight w:val="720"/>
      <w:marTop w:val="10"/>
      <w:marBottom w:val="10"/>
      <w:divBdr>
        <w:top w:val="none" w:sz="0" w:space="0" w:color="auto"/>
        <w:left w:val="none" w:sz="0" w:space="0" w:color="auto"/>
        <w:bottom w:val="none" w:sz="0" w:space="0" w:color="auto"/>
        <w:right w:val="none" w:sz="0" w:space="0" w:color="auto"/>
      </w:divBdr>
    </w:div>
    <w:div w:id="388846401">
      <w:marLeft w:val="0"/>
      <w:marRight w:val="720"/>
      <w:marTop w:val="10"/>
      <w:marBottom w:val="10"/>
      <w:divBdr>
        <w:top w:val="none" w:sz="0" w:space="0" w:color="auto"/>
        <w:left w:val="none" w:sz="0" w:space="0" w:color="auto"/>
        <w:bottom w:val="none" w:sz="0" w:space="0" w:color="auto"/>
        <w:right w:val="none" w:sz="0" w:space="0" w:color="auto"/>
      </w:divBdr>
    </w:div>
    <w:div w:id="797995591">
      <w:marLeft w:val="0"/>
      <w:marRight w:val="0"/>
      <w:marTop w:val="10"/>
      <w:marBottom w:val="10"/>
      <w:divBdr>
        <w:top w:val="none" w:sz="0" w:space="0" w:color="auto"/>
        <w:left w:val="none" w:sz="0" w:space="0" w:color="auto"/>
        <w:bottom w:val="none" w:sz="0" w:space="0" w:color="auto"/>
        <w:right w:val="none" w:sz="0" w:space="0" w:color="auto"/>
      </w:divBdr>
    </w:div>
    <w:div w:id="829448786">
      <w:marLeft w:val="0"/>
      <w:marRight w:val="0"/>
      <w:marTop w:val="10"/>
      <w:marBottom w:val="10"/>
      <w:divBdr>
        <w:top w:val="none" w:sz="0" w:space="0" w:color="auto"/>
        <w:left w:val="none" w:sz="0" w:space="0" w:color="auto"/>
        <w:bottom w:val="none" w:sz="0" w:space="0" w:color="auto"/>
        <w:right w:val="none" w:sz="0" w:space="0" w:color="auto"/>
      </w:divBdr>
    </w:div>
    <w:div w:id="971521984">
      <w:marLeft w:val="0"/>
      <w:marRight w:val="0"/>
      <w:marTop w:val="10"/>
      <w:marBottom w:val="10"/>
      <w:divBdr>
        <w:top w:val="none" w:sz="0" w:space="0" w:color="auto"/>
        <w:left w:val="none" w:sz="0" w:space="0" w:color="auto"/>
        <w:bottom w:val="none" w:sz="0" w:space="0" w:color="auto"/>
        <w:right w:val="none" w:sz="0" w:space="0" w:color="auto"/>
      </w:divBdr>
    </w:div>
    <w:div w:id="1152482498">
      <w:marLeft w:val="0"/>
      <w:marRight w:val="720"/>
      <w:marTop w:val="10"/>
      <w:marBottom w:val="10"/>
      <w:divBdr>
        <w:top w:val="none" w:sz="0" w:space="0" w:color="auto"/>
        <w:left w:val="none" w:sz="0" w:space="0" w:color="auto"/>
        <w:bottom w:val="none" w:sz="0" w:space="0" w:color="auto"/>
        <w:right w:val="none" w:sz="0" w:space="0" w:color="auto"/>
      </w:divBdr>
    </w:div>
    <w:div w:id="1215577419">
      <w:marLeft w:val="0"/>
      <w:marRight w:val="0"/>
      <w:marTop w:val="10"/>
      <w:marBottom w:val="10"/>
      <w:divBdr>
        <w:top w:val="none" w:sz="0" w:space="0" w:color="auto"/>
        <w:left w:val="none" w:sz="0" w:space="0" w:color="auto"/>
        <w:bottom w:val="none" w:sz="0" w:space="0" w:color="auto"/>
        <w:right w:val="none" w:sz="0" w:space="0" w:color="auto"/>
      </w:divBdr>
    </w:div>
    <w:div w:id="1241982751">
      <w:marLeft w:val="0"/>
      <w:marRight w:val="0"/>
      <w:marTop w:val="10"/>
      <w:marBottom w:val="10"/>
      <w:divBdr>
        <w:top w:val="none" w:sz="0" w:space="0" w:color="auto"/>
        <w:left w:val="none" w:sz="0" w:space="0" w:color="auto"/>
        <w:bottom w:val="none" w:sz="0" w:space="0" w:color="auto"/>
        <w:right w:val="none" w:sz="0" w:space="0" w:color="auto"/>
      </w:divBdr>
    </w:div>
    <w:div w:id="1421751643">
      <w:marLeft w:val="0"/>
      <w:marRight w:val="0"/>
      <w:marTop w:val="10"/>
      <w:marBottom w:val="10"/>
      <w:divBdr>
        <w:top w:val="none" w:sz="0" w:space="0" w:color="auto"/>
        <w:left w:val="none" w:sz="0" w:space="0" w:color="auto"/>
        <w:bottom w:val="none" w:sz="0" w:space="0" w:color="auto"/>
        <w:right w:val="none" w:sz="0" w:space="0" w:color="auto"/>
      </w:divBdr>
    </w:div>
    <w:div w:id="1512984900">
      <w:marLeft w:val="0"/>
      <w:marRight w:val="0"/>
      <w:marTop w:val="10"/>
      <w:marBottom w:val="10"/>
      <w:divBdr>
        <w:top w:val="none" w:sz="0" w:space="0" w:color="auto"/>
        <w:left w:val="none" w:sz="0" w:space="0" w:color="auto"/>
        <w:bottom w:val="none" w:sz="0" w:space="0" w:color="auto"/>
        <w:right w:val="none" w:sz="0" w:space="0" w:color="auto"/>
      </w:divBdr>
    </w:div>
    <w:div w:id="1703165695">
      <w:marLeft w:val="0"/>
      <w:marRight w:val="0"/>
      <w:marTop w:val="10"/>
      <w:marBottom w:val="10"/>
      <w:divBdr>
        <w:top w:val="none" w:sz="0" w:space="0" w:color="auto"/>
        <w:left w:val="none" w:sz="0" w:space="0" w:color="auto"/>
        <w:bottom w:val="none" w:sz="0" w:space="0" w:color="auto"/>
        <w:right w:val="none" w:sz="0" w:space="0" w:color="auto"/>
      </w:divBdr>
    </w:div>
    <w:div w:id="1821580559">
      <w:marLeft w:val="0"/>
      <w:marRight w:val="0"/>
      <w:marTop w:val="10"/>
      <w:marBottom w:val="10"/>
      <w:divBdr>
        <w:top w:val="none" w:sz="0" w:space="0" w:color="auto"/>
        <w:left w:val="none" w:sz="0" w:space="0" w:color="auto"/>
        <w:bottom w:val="none" w:sz="0" w:space="0" w:color="auto"/>
        <w:right w:val="none" w:sz="0" w:space="0" w:color="auto"/>
      </w:divBdr>
    </w:div>
    <w:div w:id="1831170953">
      <w:marLeft w:val="0"/>
      <w:marRight w:val="0"/>
      <w:marTop w:val="10"/>
      <w:marBottom w:val="10"/>
      <w:divBdr>
        <w:top w:val="none" w:sz="0" w:space="0" w:color="auto"/>
        <w:left w:val="none" w:sz="0" w:space="0" w:color="auto"/>
        <w:bottom w:val="none" w:sz="0" w:space="0" w:color="auto"/>
        <w:right w:val="none" w:sz="0" w:space="0" w:color="auto"/>
      </w:divBdr>
    </w:div>
    <w:div w:id="1995598467">
      <w:marLeft w:val="0"/>
      <w:marRight w:val="0"/>
      <w:marTop w:val="10"/>
      <w:marBottom w:val="10"/>
      <w:divBdr>
        <w:top w:val="none" w:sz="0" w:space="0" w:color="auto"/>
        <w:left w:val="none" w:sz="0" w:space="0" w:color="auto"/>
        <w:bottom w:val="none" w:sz="0" w:space="0" w:color="auto"/>
        <w:right w:val="none" w:sz="0" w:space="0" w:color="auto"/>
      </w:divBdr>
    </w:div>
    <w:div w:id="2001813257">
      <w:marLeft w:val="0"/>
      <w:marRight w:val="720"/>
      <w:marTop w:val="10"/>
      <w:marBottom w:val="10"/>
      <w:divBdr>
        <w:top w:val="none" w:sz="0" w:space="0" w:color="auto"/>
        <w:left w:val="none" w:sz="0" w:space="0" w:color="auto"/>
        <w:bottom w:val="none" w:sz="0" w:space="0" w:color="auto"/>
        <w:right w:val="none" w:sz="0" w:space="0" w:color="auto"/>
      </w:divBdr>
    </w:div>
    <w:div w:id="2082367436">
      <w:marLeft w:val="0"/>
      <w:marRight w:val="0"/>
      <w:marTop w:val="10"/>
      <w:marBottom w:val="10"/>
      <w:divBdr>
        <w:top w:val="none" w:sz="0" w:space="0" w:color="auto"/>
        <w:left w:val="none" w:sz="0" w:space="0" w:color="auto"/>
        <w:bottom w:val="none" w:sz="0" w:space="0" w:color="auto"/>
        <w:right w:val="none" w:sz="0" w:space="0" w:color="auto"/>
      </w:divBdr>
    </w:div>
    <w:div w:id="2093815880">
      <w:marLeft w:val="0"/>
      <w:marRight w:val="720"/>
      <w:marTop w:val="10"/>
      <w:marBottom w:val="10"/>
      <w:divBdr>
        <w:top w:val="none" w:sz="0" w:space="0" w:color="auto"/>
        <w:left w:val="none" w:sz="0" w:space="0" w:color="auto"/>
        <w:bottom w:val="none" w:sz="0" w:space="0" w:color="auto"/>
        <w:right w:val="none" w:sz="0" w:space="0" w:color="auto"/>
      </w:divBdr>
    </w:div>
    <w:div w:id="21160964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