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C5519">
      <w:pPr>
        <w:spacing w:line="500" w:lineRule="atLeast"/>
        <w:jc w:val="center"/>
        <w:divId w:val="1335035311"/>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6C5519">
      <w:pPr>
        <w:spacing w:line="500" w:lineRule="atLeast"/>
        <w:jc w:val="center"/>
        <w:divId w:val="1103653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C5519">
      <w:pPr>
        <w:spacing w:line="500" w:lineRule="atLeast"/>
        <w:jc w:val="right"/>
        <w:divId w:val="1174732845"/>
        <w:rPr>
          <w:rFonts w:hint="eastAsia"/>
          <w:sz w:val="30"/>
          <w:szCs w:val="30"/>
        </w:rPr>
      </w:pPr>
      <w:r>
        <w:rPr>
          <w:rFonts w:hint="eastAsia"/>
          <w:sz w:val="30"/>
          <w:szCs w:val="30"/>
        </w:rPr>
        <w:t>（</w:t>
      </w:r>
      <w:r>
        <w:rPr>
          <w:rFonts w:hint="eastAsia"/>
          <w:sz w:val="30"/>
          <w:szCs w:val="30"/>
        </w:rPr>
        <w:t>2021</w:t>
      </w:r>
      <w:r>
        <w:rPr>
          <w:rFonts w:hint="eastAsia"/>
          <w:sz w:val="30"/>
          <w:szCs w:val="30"/>
        </w:rPr>
        <w:t>）陕民申</w:t>
      </w:r>
      <w:r>
        <w:rPr>
          <w:rFonts w:hint="eastAsia"/>
          <w:sz w:val="30"/>
          <w:szCs w:val="30"/>
        </w:rPr>
        <w:t>441</w:t>
      </w:r>
      <w:r>
        <w:rPr>
          <w:rFonts w:hint="eastAsia"/>
          <w:sz w:val="30"/>
          <w:szCs w:val="30"/>
        </w:rPr>
        <w:t>号</w:t>
      </w:r>
    </w:p>
    <w:p w:rsidR="00000000" w:rsidRDefault="006C5519">
      <w:pPr>
        <w:spacing w:line="500" w:lineRule="atLeast"/>
        <w:ind w:firstLine="600"/>
        <w:divId w:val="1254046294"/>
        <w:rPr>
          <w:rFonts w:hint="eastAsia"/>
          <w:sz w:val="30"/>
          <w:szCs w:val="30"/>
        </w:rPr>
      </w:pPr>
      <w:r>
        <w:rPr>
          <w:rFonts w:hint="eastAsia"/>
          <w:sz w:val="30"/>
          <w:szCs w:val="30"/>
        </w:rPr>
        <w:t>再审申请人（一审原告、二审上诉人）：毛兴元。</w:t>
      </w:r>
    </w:p>
    <w:p w:rsidR="00000000" w:rsidRDefault="006C5519">
      <w:pPr>
        <w:spacing w:line="500" w:lineRule="atLeast"/>
        <w:ind w:firstLine="600"/>
        <w:divId w:val="2083675154"/>
        <w:rPr>
          <w:rFonts w:hint="eastAsia"/>
          <w:sz w:val="30"/>
          <w:szCs w:val="30"/>
        </w:rPr>
      </w:pPr>
      <w:r>
        <w:rPr>
          <w:rFonts w:hint="eastAsia"/>
          <w:sz w:val="30"/>
          <w:szCs w:val="30"/>
        </w:rPr>
        <w:t>被申请人（一审被告、二审上诉人）：西安交通大学医学院第一附属医院。住所地：陕西省西安市雁塔西路</w:t>
      </w:r>
      <w:r>
        <w:rPr>
          <w:rFonts w:hint="eastAsia"/>
          <w:sz w:val="30"/>
          <w:szCs w:val="30"/>
        </w:rPr>
        <w:t>277</w:t>
      </w:r>
      <w:r>
        <w:rPr>
          <w:rFonts w:hint="eastAsia"/>
          <w:sz w:val="30"/>
          <w:szCs w:val="30"/>
        </w:rPr>
        <w:t>号。</w:t>
      </w:r>
    </w:p>
    <w:p w:rsidR="00000000" w:rsidRDefault="006C5519">
      <w:pPr>
        <w:spacing w:line="500" w:lineRule="atLeast"/>
        <w:ind w:firstLine="600"/>
        <w:divId w:val="1056776627"/>
        <w:rPr>
          <w:rFonts w:hint="eastAsia"/>
          <w:sz w:val="30"/>
          <w:szCs w:val="30"/>
        </w:rPr>
      </w:pPr>
      <w:r>
        <w:rPr>
          <w:rFonts w:hint="eastAsia"/>
          <w:sz w:val="30"/>
          <w:szCs w:val="30"/>
        </w:rPr>
        <w:t>法定代表人：施秉银，该院院长。</w:t>
      </w:r>
    </w:p>
    <w:p w:rsidR="00000000" w:rsidRDefault="006C5519">
      <w:pPr>
        <w:spacing w:line="500" w:lineRule="atLeast"/>
        <w:ind w:firstLine="600"/>
        <w:divId w:val="1644771715"/>
        <w:rPr>
          <w:rFonts w:hint="eastAsia"/>
          <w:sz w:val="30"/>
          <w:szCs w:val="30"/>
        </w:rPr>
      </w:pPr>
      <w:r>
        <w:rPr>
          <w:rFonts w:hint="eastAsia"/>
          <w:sz w:val="30"/>
          <w:szCs w:val="30"/>
        </w:rPr>
        <w:t>再审申请人毛兴元因与被申请人西安交通大学医学院第一附属医院（以下简称交大一附院）医疗损害责任纠纷一案，不服陕西省西安市中级人民法院</w:t>
      </w:r>
      <w:r>
        <w:rPr>
          <w:rFonts w:hint="eastAsia"/>
          <w:sz w:val="30"/>
          <w:szCs w:val="30"/>
        </w:rPr>
        <w:t>(2020)</w:t>
      </w:r>
      <w:r>
        <w:rPr>
          <w:rFonts w:hint="eastAsia"/>
          <w:sz w:val="30"/>
          <w:szCs w:val="30"/>
        </w:rPr>
        <w:t>陕</w:t>
      </w:r>
      <w:r>
        <w:rPr>
          <w:rFonts w:hint="eastAsia"/>
          <w:sz w:val="30"/>
          <w:szCs w:val="30"/>
        </w:rPr>
        <w:t>01</w:t>
      </w:r>
      <w:r>
        <w:rPr>
          <w:rFonts w:hint="eastAsia"/>
          <w:sz w:val="30"/>
          <w:szCs w:val="30"/>
        </w:rPr>
        <w:t>民终</w:t>
      </w:r>
      <w:r>
        <w:rPr>
          <w:rFonts w:hint="eastAsia"/>
          <w:sz w:val="30"/>
          <w:szCs w:val="30"/>
        </w:rPr>
        <w:t>10502</w:t>
      </w:r>
      <w:r>
        <w:rPr>
          <w:rFonts w:hint="eastAsia"/>
          <w:sz w:val="30"/>
          <w:szCs w:val="30"/>
        </w:rPr>
        <w:t>号民事判决，向本院申请再审。本院依法组成合议庭对本案进行了审查，现已审查终结。</w:t>
      </w:r>
    </w:p>
    <w:p w:rsidR="00000000" w:rsidRDefault="006C5519">
      <w:pPr>
        <w:spacing w:line="500" w:lineRule="atLeast"/>
        <w:ind w:firstLine="600"/>
        <w:divId w:val="1648389352"/>
        <w:rPr>
          <w:rFonts w:hint="eastAsia"/>
          <w:sz w:val="30"/>
          <w:szCs w:val="30"/>
        </w:rPr>
      </w:pPr>
      <w:r>
        <w:rPr>
          <w:rFonts w:hint="eastAsia"/>
          <w:sz w:val="30"/>
          <w:szCs w:val="30"/>
        </w:rPr>
        <w:t>毛兴元申请再审称，（一）原审判决事实认定不清。申请人向一审法院递交了诉中保全证据申请，请求保全并调取腹腔镜手术录像和手术室监控录像，但一、二审法院并未进行调取，导致事实认定不清。（二）原审判决适用法律错误。一审判决错误引用已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作废的《最高人民法院关于民事诉讼证据的若干规定》第二条判定申请人举证不利，并未适用新修改的《最高人民法院关于民事诉讼证据的若干规定》第九十五条，二审判决亦未适用类案判决，属适用法律错误。（三）原审判决违反法定程序。一审剥夺申请人的辩论权利，二审判决开庭时仅有一名审判</w:t>
      </w:r>
      <w:r>
        <w:rPr>
          <w:rFonts w:hint="eastAsia"/>
          <w:sz w:val="30"/>
          <w:szCs w:val="30"/>
        </w:rPr>
        <w:t>员与书记员到场，开庭组成人员不合法，属违反法定程序情形。综上，请求撤销西安市中级人民法院</w:t>
      </w:r>
      <w:r>
        <w:rPr>
          <w:rFonts w:hint="eastAsia"/>
          <w:sz w:val="30"/>
          <w:szCs w:val="30"/>
        </w:rPr>
        <w:t>(2020)</w:t>
      </w:r>
      <w:r>
        <w:rPr>
          <w:rFonts w:hint="eastAsia"/>
          <w:sz w:val="30"/>
          <w:szCs w:val="30"/>
        </w:rPr>
        <w:t>陕</w:t>
      </w:r>
      <w:r>
        <w:rPr>
          <w:rFonts w:hint="eastAsia"/>
          <w:sz w:val="30"/>
          <w:szCs w:val="30"/>
        </w:rPr>
        <w:t>01</w:t>
      </w:r>
      <w:r>
        <w:rPr>
          <w:rFonts w:hint="eastAsia"/>
          <w:sz w:val="30"/>
          <w:szCs w:val="30"/>
        </w:rPr>
        <w:t>民终</w:t>
      </w:r>
      <w:r>
        <w:rPr>
          <w:rFonts w:hint="eastAsia"/>
          <w:sz w:val="30"/>
          <w:szCs w:val="30"/>
        </w:rPr>
        <w:t>10502</w:t>
      </w:r>
      <w:r>
        <w:rPr>
          <w:rFonts w:hint="eastAsia"/>
          <w:sz w:val="30"/>
          <w:szCs w:val="30"/>
        </w:rPr>
        <w:t>号民事判决，对本案依法再审。</w:t>
      </w:r>
    </w:p>
    <w:p w:rsidR="00000000" w:rsidRDefault="006C5519">
      <w:pPr>
        <w:spacing w:line="500" w:lineRule="atLeast"/>
        <w:ind w:firstLine="600"/>
        <w:divId w:val="823670156"/>
        <w:rPr>
          <w:rFonts w:hint="eastAsia"/>
          <w:sz w:val="30"/>
          <w:szCs w:val="30"/>
        </w:rPr>
      </w:pPr>
      <w:r>
        <w:rPr>
          <w:rFonts w:hint="eastAsia"/>
          <w:sz w:val="30"/>
          <w:szCs w:val="30"/>
        </w:rPr>
        <w:t>交大一附院未提交书面意见。</w:t>
      </w:r>
    </w:p>
    <w:p w:rsidR="00000000" w:rsidRDefault="006C5519">
      <w:pPr>
        <w:spacing w:line="500" w:lineRule="atLeast"/>
        <w:ind w:firstLine="600"/>
        <w:divId w:val="1116215125"/>
        <w:rPr>
          <w:rFonts w:hint="eastAsia"/>
          <w:sz w:val="30"/>
          <w:szCs w:val="30"/>
        </w:rPr>
      </w:pPr>
      <w:r>
        <w:rPr>
          <w:rFonts w:hint="eastAsia"/>
          <w:sz w:val="30"/>
          <w:szCs w:val="30"/>
        </w:rPr>
        <w:lastRenderedPageBreak/>
        <w:t>本院经审查认为，本案申请再审审查的焦点是：</w:t>
      </w:r>
      <w:r>
        <w:rPr>
          <w:rFonts w:hint="eastAsia"/>
          <w:sz w:val="30"/>
          <w:szCs w:val="30"/>
        </w:rPr>
        <w:t>1</w:t>
      </w:r>
      <w:r>
        <w:rPr>
          <w:rFonts w:hint="eastAsia"/>
          <w:sz w:val="30"/>
          <w:szCs w:val="30"/>
        </w:rPr>
        <w:t>、交大一附院是否应承担医疗事故赔偿责任；</w:t>
      </w:r>
      <w:r>
        <w:rPr>
          <w:rFonts w:hint="eastAsia"/>
          <w:sz w:val="30"/>
          <w:szCs w:val="30"/>
        </w:rPr>
        <w:t>2</w:t>
      </w:r>
      <w:r>
        <w:rPr>
          <w:rFonts w:hint="eastAsia"/>
          <w:sz w:val="30"/>
          <w:szCs w:val="30"/>
        </w:rPr>
        <w:t>、一审判决是否适用法律错误；</w:t>
      </w:r>
      <w:r>
        <w:rPr>
          <w:rFonts w:hint="eastAsia"/>
          <w:sz w:val="30"/>
          <w:szCs w:val="30"/>
        </w:rPr>
        <w:t>3</w:t>
      </w:r>
      <w:r>
        <w:rPr>
          <w:rFonts w:hint="eastAsia"/>
          <w:sz w:val="30"/>
          <w:szCs w:val="30"/>
        </w:rPr>
        <w:t>、原审审理是否违反法定程序。</w:t>
      </w:r>
    </w:p>
    <w:p w:rsidR="00000000" w:rsidRDefault="006C5519">
      <w:pPr>
        <w:spacing w:line="500" w:lineRule="atLeast"/>
        <w:ind w:firstLine="600"/>
        <w:divId w:val="549651788"/>
        <w:rPr>
          <w:rFonts w:hint="eastAsia"/>
          <w:sz w:val="30"/>
          <w:szCs w:val="30"/>
        </w:rPr>
      </w:pPr>
      <w:r>
        <w:rPr>
          <w:rFonts w:hint="eastAsia"/>
          <w:sz w:val="30"/>
          <w:szCs w:val="30"/>
        </w:rPr>
        <w:t>关于焦点一：本案中，申请人毛兴元主张交大一附院在为其医疗的过程中存在医疗过错，漏缝</w:t>
      </w:r>
      <w:r>
        <w:rPr>
          <w:rFonts w:hint="eastAsia"/>
          <w:sz w:val="30"/>
          <w:szCs w:val="30"/>
        </w:rPr>
        <w:t>5</w:t>
      </w:r>
      <w:r>
        <w:rPr>
          <w:rFonts w:hint="eastAsia"/>
          <w:sz w:val="30"/>
          <w:szCs w:val="30"/>
        </w:rPr>
        <w:t>毫米导致对其产生损害的后果。因申请人毛兴元主张的事由具有专业性，需专门机构进行鉴定，以确定被申请人的诊疗</w:t>
      </w:r>
      <w:r>
        <w:rPr>
          <w:rFonts w:hint="eastAsia"/>
          <w:sz w:val="30"/>
          <w:szCs w:val="30"/>
        </w:rPr>
        <w:t>行为是否合法。原审审理中，毛兴元申请了司法鉴定，但在鉴定机构鉴定过程中，其又认为交大一附院手术当时的视频资料已经“冲掉”，无法再提交，过错鉴定没有必要再进行了，致使鉴定无法进行，鉴定单位虽将案件退回。仅视频资料缺失并不能当然认定过错鉴定无法进行，毛兴元提供的其他证据不足以证明其事实主张，应承担举证不能的不利后果。原审判决对其要求交大一附院赔偿的请求未予支持并无不妥。</w:t>
      </w:r>
    </w:p>
    <w:p w:rsidR="00000000" w:rsidRDefault="006C5519">
      <w:pPr>
        <w:spacing w:line="500" w:lineRule="atLeast"/>
        <w:ind w:firstLine="600"/>
        <w:divId w:val="730886879"/>
        <w:rPr>
          <w:rFonts w:hint="eastAsia"/>
          <w:sz w:val="30"/>
          <w:szCs w:val="30"/>
        </w:rPr>
      </w:pPr>
      <w:r>
        <w:rPr>
          <w:rFonts w:hint="eastAsia"/>
          <w:sz w:val="30"/>
          <w:szCs w:val="30"/>
        </w:rPr>
        <w:t>关于焦点二：新修订的《最高人民法院关于民事诉讼证据的若干规定》第二条：“人民法院应当向当事人说明举证的要求及法律后果，促使当事人在合理期限内积</w:t>
      </w:r>
      <w:r>
        <w:rPr>
          <w:rFonts w:hint="eastAsia"/>
          <w:sz w:val="30"/>
          <w:szCs w:val="30"/>
        </w:rPr>
        <w:t>极、全面、正确、诚实地完成举证。”本案中，一审法院向申请人毛兴元释明，医疗事故必须经过专业的鉴定机构进行鉴定，要确认诊疗机构的诊疗行为与毛兴元主张的损害结果之间有无因果关系及原因力大小，如不进行鉴定无法确认，毛兴元要自行承担举证不能的败诉风险。后毛兴元申请鉴定，但鉴定工作因申请人毛兴元认为没有必要，最终并未进行。原审判决适用该司法解释亦无不当。</w:t>
      </w:r>
    </w:p>
    <w:p w:rsidR="00000000" w:rsidRDefault="006C5519">
      <w:pPr>
        <w:spacing w:line="500" w:lineRule="atLeast"/>
        <w:ind w:firstLine="600"/>
        <w:divId w:val="2052534304"/>
        <w:rPr>
          <w:rFonts w:hint="eastAsia"/>
          <w:sz w:val="30"/>
          <w:szCs w:val="30"/>
        </w:rPr>
      </w:pPr>
      <w:r>
        <w:rPr>
          <w:rFonts w:hint="eastAsia"/>
          <w:sz w:val="30"/>
          <w:szCs w:val="30"/>
        </w:rPr>
        <w:t>关于焦点三：《中华人民共和国民事诉讼法》第十二条规定，民事诉讼当事人有权对争议的问题进行辩论。辩论应在人民法院的主持下合法、有序的进行，辩论不限于庭审辩论、口</w:t>
      </w:r>
      <w:r>
        <w:rPr>
          <w:rFonts w:hint="eastAsia"/>
          <w:sz w:val="30"/>
          <w:szCs w:val="30"/>
        </w:rPr>
        <w:lastRenderedPageBreak/>
        <w:t>头辩论</w:t>
      </w:r>
      <w:r>
        <w:rPr>
          <w:rFonts w:hint="eastAsia"/>
          <w:sz w:val="30"/>
          <w:szCs w:val="30"/>
        </w:rPr>
        <w:t>，还包括多种辩论方式且贯穿始终。原一审法院依照庭审程序及需要，就相关争议问题组织举证质证、辩论及发问，并对相关证据进行了出示、质证，并不存在违反法定程序的情形。《中华人民共和国民事诉讼法》第一百六十九条规定，第二审人民法院对上诉案件，应当组成合议庭，开庭审理。经过阅卷、调查和询问当事人，对没有提出新的事实、证据或者理由，合议庭认为不需要开庭审理的，可以不开庭审理。本案二审期间，法院未组织开庭审理，采取对双方当事人进行询问的方式审理案件，符合法律规定。</w:t>
      </w:r>
    </w:p>
    <w:p w:rsidR="00000000" w:rsidRDefault="006C5519">
      <w:pPr>
        <w:spacing w:line="500" w:lineRule="atLeast"/>
        <w:ind w:firstLine="600"/>
        <w:divId w:val="1492218006"/>
        <w:rPr>
          <w:rFonts w:hint="eastAsia"/>
          <w:sz w:val="30"/>
          <w:szCs w:val="30"/>
        </w:rPr>
      </w:pPr>
      <w:r>
        <w:rPr>
          <w:rFonts w:hint="eastAsia"/>
          <w:sz w:val="30"/>
          <w:szCs w:val="30"/>
        </w:rPr>
        <w:t>综上，毛兴元的再审申请不符合《中华人民共和国民事诉讼法》</w:t>
      </w:r>
      <w:r>
        <w:rPr>
          <w:rFonts w:hint="eastAsia"/>
          <w:sz w:val="30"/>
          <w:szCs w:val="30"/>
        </w:rPr>
        <w:t>第二百条规定的再审情形。依照《中华人民共和国民事诉讼法》第二百零四条第一款、《最高人民法院关于适</w:t>
      </w:r>
      <w:r>
        <w:rPr>
          <w:rFonts w:hint="eastAsia"/>
          <w:sz w:val="30"/>
          <w:szCs w:val="30"/>
        </w:rPr>
        <w:t>用</w:t>
      </w:r>
      <w:r>
        <w:rPr>
          <w:rFonts w:hint="eastAsia"/>
          <w:sz w:val="30"/>
          <w:szCs w:val="30"/>
        </w:rPr>
        <w:t>的解释》第三百九十五条第二款的规定，裁定如下</w:t>
      </w:r>
      <w:r>
        <w:rPr>
          <w:rFonts w:hint="eastAsia"/>
          <w:sz w:val="30"/>
          <w:szCs w:val="30"/>
        </w:rPr>
        <w:t>:</w:t>
      </w:r>
    </w:p>
    <w:p w:rsidR="00000000" w:rsidRDefault="006C5519">
      <w:pPr>
        <w:spacing w:line="500" w:lineRule="atLeast"/>
        <w:ind w:firstLine="600"/>
        <w:divId w:val="1267687799"/>
        <w:rPr>
          <w:rFonts w:hint="eastAsia"/>
          <w:sz w:val="30"/>
          <w:szCs w:val="30"/>
        </w:rPr>
      </w:pPr>
      <w:r>
        <w:rPr>
          <w:rFonts w:hint="eastAsia"/>
          <w:sz w:val="30"/>
          <w:szCs w:val="30"/>
        </w:rPr>
        <w:t>驳回毛兴元的再审申请。</w:t>
      </w:r>
    </w:p>
    <w:p w:rsidR="00000000" w:rsidRDefault="006C5519">
      <w:pPr>
        <w:spacing w:line="500" w:lineRule="atLeast"/>
        <w:jc w:val="right"/>
        <w:divId w:val="120024539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王小凤</w:t>
      </w:r>
    </w:p>
    <w:p w:rsidR="00000000" w:rsidRDefault="006C5519">
      <w:pPr>
        <w:spacing w:line="500" w:lineRule="atLeast"/>
        <w:jc w:val="right"/>
        <w:divId w:val="33229883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马　萍</w:t>
      </w:r>
    </w:p>
    <w:p w:rsidR="00000000" w:rsidRDefault="006C5519">
      <w:pPr>
        <w:spacing w:line="500" w:lineRule="atLeast"/>
        <w:jc w:val="right"/>
        <w:divId w:val="98108087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董倩倩</w:t>
      </w:r>
    </w:p>
    <w:p w:rsidR="00000000" w:rsidRDefault="006C5519">
      <w:pPr>
        <w:spacing w:line="500" w:lineRule="atLeast"/>
        <w:jc w:val="right"/>
        <w:divId w:val="771124269"/>
        <w:rPr>
          <w:rFonts w:hint="eastAsia"/>
          <w:sz w:val="30"/>
          <w:szCs w:val="30"/>
        </w:rPr>
      </w:pPr>
      <w:r>
        <w:rPr>
          <w:rFonts w:hint="eastAsia"/>
          <w:sz w:val="30"/>
          <w:szCs w:val="30"/>
        </w:rPr>
        <w:t>二〇二一年二月一日</w:t>
      </w:r>
    </w:p>
    <w:p w:rsidR="00000000" w:rsidRDefault="006C5519">
      <w:pPr>
        <w:spacing w:line="500" w:lineRule="atLeast"/>
        <w:jc w:val="right"/>
        <w:divId w:val="388454017"/>
        <w:rPr>
          <w:rFonts w:hint="eastAsia"/>
          <w:sz w:val="30"/>
          <w:szCs w:val="30"/>
        </w:rPr>
      </w:pPr>
      <w:r>
        <w:rPr>
          <w:rFonts w:hint="eastAsia"/>
          <w:sz w:val="30"/>
          <w:szCs w:val="30"/>
        </w:rPr>
        <w:t>法官助理　文　涛</w:t>
      </w:r>
    </w:p>
    <w:p w:rsidR="00000000" w:rsidRDefault="006C5519">
      <w:pPr>
        <w:spacing w:line="500" w:lineRule="atLeast"/>
        <w:jc w:val="right"/>
        <w:divId w:val="1184172529"/>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罗高见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519" w:rsidRDefault="006C5519" w:rsidP="006C5519">
      <w:r>
        <w:separator/>
      </w:r>
    </w:p>
  </w:endnote>
  <w:endnote w:type="continuationSeparator" w:id="0">
    <w:p w:rsidR="006C5519" w:rsidRDefault="006C5519" w:rsidP="006C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519" w:rsidRDefault="006C5519" w:rsidP="006C5519">
      <w:r>
        <w:separator/>
      </w:r>
    </w:p>
  </w:footnote>
  <w:footnote w:type="continuationSeparator" w:id="0">
    <w:p w:rsidR="006C5519" w:rsidRDefault="006C5519" w:rsidP="006C55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C5519"/>
    <w:rsid w:val="006C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C55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C5519"/>
    <w:rPr>
      <w:rFonts w:ascii="宋体" w:eastAsia="宋体" w:hAnsi="宋体" w:cs="宋体"/>
      <w:sz w:val="18"/>
      <w:szCs w:val="18"/>
    </w:rPr>
  </w:style>
  <w:style w:type="paragraph" w:styleId="a6">
    <w:name w:val="footer"/>
    <w:basedOn w:val="a"/>
    <w:link w:val="a7"/>
    <w:uiPriority w:val="99"/>
    <w:unhideWhenUsed/>
    <w:rsid w:val="006C5519"/>
    <w:pPr>
      <w:tabs>
        <w:tab w:val="center" w:pos="4153"/>
        <w:tab w:val="right" w:pos="8306"/>
      </w:tabs>
      <w:snapToGrid w:val="0"/>
    </w:pPr>
    <w:rPr>
      <w:sz w:val="18"/>
      <w:szCs w:val="18"/>
    </w:rPr>
  </w:style>
  <w:style w:type="character" w:customStyle="1" w:styleId="a7">
    <w:name w:val="页脚 字符"/>
    <w:basedOn w:val="a0"/>
    <w:link w:val="a6"/>
    <w:uiPriority w:val="99"/>
    <w:rsid w:val="006C551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5385">
      <w:marLeft w:val="0"/>
      <w:marRight w:val="0"/>
      <w:marTop w:val="10"/>
      <w:marBottom w:val="10"/>
      <w:divBdr>
        <w:top w:val="none" w:sz="0" w:space="0" w:color="auto"/>
        <w:left w:val="none" w:sz="0" w:space="0" w:color="auto"/>
        <w:bottom w:val="none" w:sz="0" w:space="0" w:color="auto"/>
        <w:right w:val="none" w:sz="0" w:space="0" w:color="auto"/>
      </w:divBdr>
    </w:div>
    <w:div w:id="332298837">
      <w:marLeft w:val="0"/>
      <w:marRight w:val="720"/>
      <w:marTop w:val="10"/>
      <w:marBottom w:val="10"/>
      <w:divBdr>
        <w:top w:val="none" w:sz="0" w:space="0" w:color="auto"/>
        <w:left w:val="none" w:sz="0" w:space="0" w:color="auto"/>
        <w:bottom w:val="none" w:sz="0" w:space="0" w:color="auto"/>
        <w:right w:val="none" w:sz="0" w:space="0" w:color="auto"/>
      </w:divBdr>
    </w:div>
    <w:div w:id="388454017">
      <w:marLeft w:val="0"/>
      <w:marRight w:val="720"/>
      <w:marTop w:val="10"/>
      <w:marBottom w:val="10"/>
      <w:divBdr>
        <w:top w:val="none" w:sz="0" w:space="0" w:color="auto"/>
        <w:left w:val="none" w:sz="0" w:space="0" w:color="auto"/>
        <w:bottom w:val="none" w:sz="0" w:space="0" w:color="auto"/>
        <w:right w:val="none" w:sz="0" w:space="0" w:color="auto"/>
      </w:divBdr>
    </w:div>
    <w:div w:id="549651788">
      <w:marLeft w:val="0"/>
      <w:marRight w:val="0"/>
      <w:marTop w:val="10"/>
      <w:marBottom w:val="10"/>
      <w:divBdr>
        <w:top w:val="none" w:sz="0" w:space="0" w:color="auto"/>
        <w:left w:val="none" w:sz="0" w:space="0" w:color="auto"/>
        <w:bottom w:val="none" w:sz="0" w:space="0" w:color="auto"/>
        <w:right w:val="none" w:sz="0" w:space="0" w:color="auto"/>
      </w:divBdr>
    </w:div>
    <w:div w:id="730886879">
      <w:marLeft w:val="0"/>
      <w:marRight w:val="0"/>
      <w:marTop w:val="10"/>
      <w:marBottom w:val="10"/>
      <w:divBdr>
        <w:top w:val="none" w:sz="0" w:space="0" w:color="auto"/>
        <w:left w:val="none" w:sz="0" w:space="0" w:color="auto"/>
        <w:bottom w:val="none" w:sz="0" w:space="0" w:color="auto"/>
        <w:right w:val="none" w:sz="0" w:space="0" w:color="auto"/>
      </w:divBdr>
    </w:div>
    <w:div w:id="771124269">
      <w:marLeft w:val="0"/>
      <w:marRight w:val="720"/>
      <w:marTop w:val="10"/>
      <w:marBottom w:val="10"/>
      <w:divBdr>
        <w:top w:val="none" w:sz="0" w:space="0" w:color="auto"/>
        <w:left w:val="none" w:sz="0" w:space="0" w:color="auto"/>
        <w:bottom w:val="none" w:sz="0" w:space="0" w:color="auto"/>
        <w:right w:val="none" w:sz="0" w:space="0" w:color="auto"/>
      </w:divBdr>
    </w:div>
    <w:div w:id="823670156">
      <w:marLeft w:val="0"/>
      <w:marRight w:val="0"/>
      <w:marTop w:val="10"/>
      <w:marBottom w:val="10"/>
      <w:divBdr>
        <w:top w:val="none" w:sz="0" w:space="0" w:color="auto"/>
        <w:left w:val="none" w:sz="0" w:space="0" w:color="auto"/>
        <w:bottom w:val="none" w:sz="0" w:space="0" w:color="auto"/>
        <w:right w:val="none" w:sz="0" w:space="0" w:color="auto"/>
      </w:divBdr>
    </w:div>
    <w:div w:id="981080871">
      <w:marLeft w:val="0"/>
      <w:marRight w:val="720"/>
      <w:marTop w:val="10"/>
      <w:marBottom w:val="10"/>
      <w:divBdr>
        <w:top w:val="none" w:sz="0" w:space="0" w:color="auto"/>
        <w:left w:val="none" w:sz="0" w:space="0" w:color="auto"/>
        <w:bottom w:val="none" w:sz="0" w:space="0" w:color="auto"/>
        <w:right w:val="none" w:sz="0" w:space="0" w:color="auto"/>
      </w:divBdr>
    </w:div>
    <w:div w:id="1056776627">
      <w:marLeft w:val="0"/>
      <w:marRight w:val="0"/>
      <w:marTop w:val="10"/>
      <w:marBottom w:val="10"/>
      <w:divBdr>
        <w:top w:val="none" w:sz="0" w:space="0" w:color="auto"/>
        <w:left w:val="none" w:sz="0" w:space="0" w:color="auto"/>
        <w:bottom w:val="none" w:sz="0" w:space="0" w:color="auto"/>
        <w:right w:val="none" w:sz="0" w:space="0" w:color="auto"/>
      </w:divBdr>
    </w:div>
    <w:div w:id="1116215125">
      <w:marLeft w:val="0"/>
      <w:marRight w:val="0"/>
      <w:marTop w:val="10"/>
      <w:marBottom w:val="10"/>
      <w:divBdr>
        <w:top w:val="none" w:sz="0" w:space="0" w:color="auto"/>
        <w:left w:val="none" w:sz="0" w:space="0" w:color="auto"/>
        <w:bottom w:val="none" w:sz="0" w:space="0" w:color="auto"/>
        <w:right w:val="none" w:sz="0" w:space="0" w:color="auto"/>
      </w:divBdr>
    </w:div>
    <w:div w:id="1174732845">
      <w:marLeft w:val="0"/>
      <w:marRight w:val="0"/>
      <w:marTop w:val="10"/>
      <w:marBottom w:val="10"/>
      <w:divBdr>
        <w:top w:val="none" w:sz="0" w:space="0" w:color="auto"/>
        <w:left w:val="none" w:sz="0" w:space="0" w:color="auto"/>
        <w:bottom w:val="none" w:sz="0" w:space="0" w:color="auto"/>
        <w:right w:val="none" w:sz="0" w:space="0" w:color="auto"/>
      </w:divBdr>
    </w:div>
    <w:div w:id="1184172529">
      <w:marLeft w:val="0"/>
      <w:marRight w:val="720"/>
      <w:marTop w:val="10"/>
      <w:marBottom w:val="10"/>
      <w:divBdr>
        <w:top w:val="none" w:sz="0" w:space="0" w:color="auto"/>
        <w:left w:val="none" w:sz="0" w:space="0" w:color="auto"/>
        <w:bottom w:val="none" w:sz="0" w:space="0" w:color="auto"/>
        <w:right w:val="none" w:sz="0" w:space="0" w:color="auto"/>
      </w:divBdr>
    </w:div>
    <w:div w:id="1200245395">
      <w:marLeft w:val="0"/>
      <w:marRight w:val="720"/>
      <w:marTop w:val="10"/>
      <w:marBottom w:val="10"/>
      <w:divBdr>
        <w:top w:val="none" w:sz="0" w:space="0" w:color="auto"/>
        <w:left w:val="none" w:sz="0" w:space="0" w:color="auto"/>
        <w:bottom w:val="none" w:sz="0" w:space="0" w:color="auto"/>
        <w:right w:val="none" w:sz="0" w:space="0" w:color="auto"/>
      </w:divBdr>
    </w:div>
    <w:div w:id="1254046294">
      <w:marLeft w:val="0"/>
      <w:marRight w:val="0"/>
      <w:marTop w:val="10"/>
      <w:marBottom w:val="10"/>
      <w:divBdr>
        <w:top w:val="none" w:sz="0" w:space="0" w:color="auto"/>
        <w:left w:val="none" w:sz="0" w:space="0" w:color="auto"/>
        <w:bottom w:val="none" w:sz="0" w:space="0" w:color="auto"/>
        <w:right w:val="none" w:sz="0" w:space="0" w:color="auto"/>
      </w:divBdr>
    </w:div>
    <w:div w:id="1267687799">
      <w:marLeft w:val="0"/>
      <w:marRight w:val="0"/>
      <w:marTop w:val="10"/>
      <w:marBottom w:val="10"/>
      <w:divBdr>
        <w:top w:val="none" w:sz="0" w:space="0" w:color="auto"/>
        <w:left w:val="none" w:sz="0" w:space="0" w:color="auto"/>
        <w:bottom w:val="none" w:sz="0" w:space="0" w:color="auto"/>
        <w:right w:val="none" w:sz="0" w:space="0" w:color="auto"/>
      </w:divBdr>
    </w:div>
    <w:div w:id="1335035311">
      <w:marLeft w:val="0"/>
      <w:marRight w:val="0"/>
      <w:marTop w:val="10"/>
      <w:marBottom w:val="10"/>
      <w:divBdr>
        <w:top w:val="none" w:sz="0" w:space="0" w:color="auto"/>
        <w:left w:val="none" w:sz="0" w:space="0" w:color="auto"/>
        <w:bottom w:val="none" w:sz="0" w:space="0" w:color="auto"/>
        <w:right w:val="none" w:sz="0" w:space="0" w:color="auto"/>
      </w:divBdr>
    </w:div>
    <w:div w:id="1492218006">
      <w:marLeft w:val="0"/>
      <w:marRight w:val="0"/>
      <w:marTop w:val="10"/>
      <w:marBottom w:val="10"/>
      <w:divBdr>
        <w:top w:val="none" w:sz="0" w:space="0" w:color="auto"/>
        <w:left w:val="none" w:sz="0" w:space="0" w:color="auto"/>
        <w:bottom w:val="none" w:sz="0" w:space="0" w:color="auto"/>
        <w:right w:val="none" w:sz="0" w:space="0" w:color="auto"/>
      </w:divBdr>
    </w:div>
    <w:div w:id="1644771715">
      <w:marLeft w:val="0"/>
      <w:marRight w:val="0"/>
      <w:marTop w:val="10"/>
      <w:marBottom w:val="10"/>
      <w:divBdr>
        <w:top w:val="none" w:sz="0" w:space="0" w:color="auto"/>
        <w:left w:val="none" w:sz="0" w:space="0" w:color="auto"/>
        <w:bottom w:val="none" w:sz="0" w:space="0" w:color="auto"/>
        <w:right w:val="none" w:sz="0" w:space="0" w:color="auto"/>
      </w:divBdr>
    </w:div>
    <w:div w:id="1648389352">
      <w:marLeft w:val="0"/>
      <w:marRight w:val="0"/>
      <w:marTop w:val="10"/>
      <w:marBottom w:val="10"/>
      <w:divBdr>
        <w:top w:val="none" w:sz="0" w:space="0" w:color="auto"/>
        <w:left w:val="none" w:sz="0" w:space="0" w:color="auto"/>
        <w:bottom w:val="none" w:sz="0" w:space="0" w:color="auto"/>
        <w:right w:val="none" w:sz="0" w:space="0" w:color="auto"/>
      </w:divBdr>
    </w:div>
    <w:div w:id="2052534304">
      <w:marLeft w:val="0"/>
      <w:marRight w:val="0"/>
      <w:marTop w:val="10"/>
      <w:marBottom w:val="10"/>
      <w:divBdr>
        <w:top w:val="none" w:sz="0" w:space="0" w:color="auto"/>
        <w:left w:val="none" w:sz="0" w:space="0" w:color="auto"/>
        <w:bottom w:val="none" w:sz="0" w:space="0" w:color="auto"/>
        <w:right w:val="none" w:sz="0" w:space="0" w:color="auto"/>
      </w:divBdr>
    </w:div>
    <w:div w:id="20836751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