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21CBF">
      <w:pPr>
        <w:spacing w:line="500" w:lineRule="atLeast"/>
        <w:jc w:val="center"/>
        <w:divId w:val="2058965685"/>
        <w:rPr>
          <w:rFonts w:ascii="黑体" w:eastAsia="黑体" w:hAnsi="黑体"/>
          <w:sz w:val="36"/>
          <w:szCs w:val="36"/>
        </w:rPr>
      </w:pPr>
      <w:bookmarkStart w:id="0" w:name="_GoBack"/>
      <w:bookmarkEnd w:id="0"/>
      <w:r>
        <w:rPr>
          <w:rFonts w:ascii="黑体" w:eastAsia="黑体" w:hAnsi="黑体" w:hint="eastAsia"/>
          <w:sz w:val="36"/>
          <w:szCs w:val="36"/>
        </w:rPr>
        <w:t>河南省高级人民法院</w:t>
      </w:r>
    </w:p>
    <w:p w:rsidR="00000000" w:rsidRDefault="00921CBF">
      <w:pPr>
        <w:spacing w:line="500" w:lineRule="atLeast"/>
        <w:jc w:val="center"/>
        <w:divId w:val="106852393"/>
        <w:rPr>
          <w:rFonts w:ascii="黑体" w:eastAsia="黑体" w:hAnsi="黑体" w:hint="eastAsia"/>
          <w:sz w:val="36"/>
          <w:szCs w:val="36"/>
        </w:rPr>
      </w:pPr>
      <w:r>
        <w:rPr>
          <w:rFonts w:ascii="黑体" w:eastAsia="黑体" w:hAnsi="黑体" w:hint="eastAsia"/>
          <w:sz w:val="36"/>
          <w:szCs w:val="36"/>
        </w:rPr>
        <w:t>行</w:t>
      </w:r>
      <w:r>
        <w:rPr>
          <w:rFonts w:ascii="黑体" w:eastAsia="黑体" w:hAnsi="黑体" w:hint="eastAsia"/>
          <w:sz w:val="36"/>
          <w:szCs w:val="36"/>
        </w:rPr>
        <w:t xml:space="preserve"> </w:t>
      </w:r>
      <w:r>
        <w:rPr>
          <w:rFonts w:ascii="黑体" w:eastAsia="黑体" w:hAnsi="黑体" w:hint="eastAsia"/>
          <w:sz w:val="36"/>
          <w:szCs w:val="36"/>
        </w:rPr>
        <w:t>政</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21CBF">
      <w:pPr>
        <w:spacing w:line="500" w:lineRule="atLeast"/>
        <w:jc w:val="right"/>
        <w:divId w:val="1846941822"/>
        <w:rPr>
          <w:rFonts w:hint="eastAsia"/>
          <w:sz w:val="30"/>
          <w:szCs w:val="30"/>
        </w:rPr>
      </w:pPr>
      <w:r>
        <w:rPr>
          <w:rFonts w:hint="eastAsia"/>
          <w:sz w:val="30"/>
          <w:szCs w:val="30"/>
        </w:rPr>
        <w:t>（</w:t>
      </w:r>
      <w:r>
        <w:rPr>
          <w:rFonts w:hint="eastAsia"/>
          <w:sz w:val="30"/>
          <w:szCs w:val="30"/>
        </w:rPr>
        <w:t>2020</w:t>
      </w:r>
      <w:r>
        <w:rPr>
          <w:rFonts w:hint="eastAsia"/>
          <w:sz w:val="30"/>
          <w:szCs w:val="30"/>
        </w:rPr>
        <w:t>）豫行申</w:t>
      </w:r>
      <w:r>
        <w:rPr>
          <w:rFonts w:hint="eastAsia"/>
          <w:sz w:val="30"/>
          <w:szCs w:val="30"/>
        </w:rPr>
        <w:t>1267</w:t>
      </w:r>
      <w:r>
        <w:rPr>
          <w:rFonts w:hint="eastAsia"/>
          <w:sz w:val="30"/>
          <w:szCs w:val="30"/>
        </w:rPr>
        <w:t>号</w:t>
      </w:r>
    </w:p>
    <w:p w:rsidR="00000000" w:rsidRDefault="00921CBF">
      <w:pPr>
        <w:spacing w:line="500" w:lineRule="atLeast"/>
        <w:ind w:firstLine="600"/>
        <w:divId w:val="733238291"/>
        <w:rPr>
          <w:rFonts w:hint="eastAsia"/>
          <w:sz w:val="30"/>
          <w:szCs w:val="30"/>
        </w:rPr>
      </w:pPr>
      <w:r>
        <w:rPr>
          <w:rFonts w:hint="eastAsia"/>
          <w:sz w:val="30"/>
          <w:szCs w:val="30"/>
        </w:rPr>
        <w:t>再审申请人（一审原告、二审上诉人）王创创，男，</w:t>
      </w:r>
      <w:r>
        <w:rPr>
          <w:rFonts w:hint="eastAsia"/>
          <w:sz w:val="30"/>
          <w:szCs w:val="30"/>
        </w:rPr>
        <w:t>1993</w:t>
      </w:r>
      <w:r>
        <w:rPr>
          <w:rFonts w:hint="eastAsia"/>
          <w:sz w:val="30"/>
          <w:szCs w:val="30"/>
        </w:rPr>
        <w:t>年</w:t>
      </w:r>
      <w:r>
        <w:rPr>
          <w:rFonts w:hint="eastAsia"/>
          <w:sz w:val="30"/>
          <w:szCs w:val="30"/>
        </w:rPr>
        <w:t>12</w:t>
      </w:r>
      <w:r>
        <w:rPr>
          <w:rFonts w:hint="eastAsia"/>
          <w:sz w:val="30"/>
          <w:szCs w:val="30"/>
        </w:rPr>
        <w:t>月</w:t>
      </w:r>
      <w:r>
        <w:rPr>
          <w:rFonts w:hint="eastAsia"/>
          <w:sz w:val="30"/>
          <w:szCs w:val="30"/>
        </w:rPr>
        <w:t>9</w:t>
      </w:r>
      <w:r>
        <w:rPr>
          <w:rFonts w:hint="eastAsia"/>
          <w:sz w:val="30"/>
          <w:szCs w:val="30"/>
        </w:rPr>
        <w:t>日出生，汉族，住河南省新安县。</w:t>
      </w:r>
    </w:p>
    <w:p w:rsidR="00000000" w:rsidRDefault="00921CBF">
      <w:pPr>
        <w:spacing w:line="500" w:lineRule="atLeast"/>
        <w:ind w:firstLine="600"/>
        <w:divId w:val="247079869"/>
        <w:rPr>
          <w:rFonts w:hint="eastAsia"/>
          <w:sz w:val="30"/>
          <w:szCs w:val="30"/>
        </w:rPr>
      </w:pPr>
      <w:r>
        <w:rPr>
          <w:rFonts w:hint="eastAsia"/>
          <w:sz w:val="30"/>
          <w:szCs w:val="30"/>
        </w:rPr>
        <w:t>委托代理人王石娃，男，</w:t>
      </w:r>
      <w:r>
        <w:rPr>
          <w:rFonts w:hint="eastAsia"/>
          <w:sz w:val="30"/>
          <w:szCs w:val="30"/>
        </w:rPr>
        <w:t>1966</w:t>
      </w:r>
      <w:r>
        <w:rPr>
          <w:rFonts w:hint="eastAsia"/>
          <w:sz w:val="30"/>
          <w:szCs w:val="30"/>
        </w:rPr>
        <w:t>年</w:t>
      </w:r>
      <w:r>
        <w:rPr>
          <w:rFonts w:hint="eastAsia"/>
          <w:sz w:val="30"/>
          <w:szCs w:val="30"/>
        </w:rPr>
        <w:t>4</w:t>
      </w:r>
      <w:r>
        <w:rPr>
          <w:rFonts w:hint="eastAsia"/>
          <w:sz w:val="30"/>
          <w:szCs w:val="30"/>
        </w:rPr>
        <w:t>月</w:t>
      </w:r>
      <w:r>
        <w:rPr>
          <w:rFonts w:hint="eastAsia"/>
          <w:sz w:val="30"/>
          <w:szCs w:val="30"/>
        </w:rPr>
        <w:t>27</w:t>
      </w:r>
      <w:r>
        <w:rPr>
          <w:rFonts w:hint="eastAsia"/>
          <w:sz w:val="30"/>
          <w:szCs w:val="30"/>
        </w:rPr>
        <w:t>日出生，汉族，住河南省新安县。</w:t>
      </w:r>
    </w:p>
    <w:p w:rsidR="00000000" w:rsidRDefault="00921CBF">
      <w:pPr>
        <w:spacing w:line="500" w:lineRule="atLeast"/>
        <w:ind w:firstLine="600"/>
        <w:divId w:val="744646678"/>
        <w:rPr>
          <w:rFonts w:hint="eastAsia"/>
          <w:sz w:val="30"/>
          <w:szCs w:val="30"/>
        </w:rPr>
      </w:pPr>
      <w:r>
        <w:rPr>
          <w:rFonts w:hint="eastAsia"/>
          <w:sz w:val="30"/>
          <w:szCs w:val="30"/>
        </w:rPr>
        <w:t>再审被申请人（一审被告、二审被上诉人）洛阳市卫生健康委员会。住所地：河南省洛阳市洛龙区开元大道</w:t>
      </w:r>
      <w:r>
        <w:rPr>
          <w:rFonts w:hint="eastAsia"/>
          <w:sz w:val="30"/>
          <w:szCs w:val="30"/>
        </w:rPr>
        <w:t>228</w:t>
      </w:r>
      <w:r>
        <w:rPr>
          <w:rFonts w:hint="eastAsia"/>
          <w:sz w:val="30"/>
          <w:szCs w:val="30"/>
        </w:rPr>
        <w:t>号。</w:t>
      </w:r>
    </w:p>
    <w:p w:rsidR="00000000" w:rsidRDefault="00921CBF">
      <w:pPr>
        <w:spacing w:line="500" w:lineRule="atLeast"/>
        <w:ind w:firstLine="600"/>
        <w:divId w:val="791678218"/>
        <w:rPr>
          <w:rFonts w:hint="eastAsia"/>
          <w:sz w:val="30"/>
          <w:szCs w:val="30"/>
        </w:rPr>
      </w:pPr>
      <w:r>
        <w:rPr>
          <w:rFonts w:hint="eastAsia"/>
          <w:sz w:val="30"/>
          <w:szCs w:val="30"/>
        </w:rPr>
        <w:t>法定代表人谢国玺，主任。</w:t>
      </w:r>
    </w:p>
    <w:p w:rsidR="00000000" w:rsidRDefault="00921CBF">
      <w:pPr>
        <w:spacing w:line="500" w:lineRule="atLeast"/>
        <w:ind w:firstLine="600"/>
        <w:divId w:val="890195139"/>
        <w:rPr>
          <w:rFonts w:hint="eastAsia"/>
          <w:sz w:val="30"/>
          <w:szCs w:val="30"/>
        </w:rPr>
      </w:pPr>
      <w:r>
        <w:rPr>
          <w:rFonts w:hint="eastAsia"/>
          <w:sz w:val="30"/>
          <w:szCs w:val="30"/>
        </w:rPr>
        <w:t>再审申请人王创创因诉洛阳市卫生健康委员会（下称洛阳市卫健委）确认行政行为违法纠纷一案，不服洛阳市中级人民法院（</w:t>
      </w:r>
      <w:r>
        <w:rPr>
          <w:rFonts w:hint="eastAsia"/>
          <w:sz w:val="30"/>
          <w:szCs w:val="30"/>
        </w:rPr>
        <w:t>2020</w:t>
      </w:r>
      <w:r>
        <w:rPr>
          <w:rFonts w:hint="eastAsia"/>
          <w:sz w:val="30"/>
          <w:szCs w:val="30"/>
        </w:rPr>
        <w:t>）豫</w:t>
      </w:r>
      <w:r>
        <w:rPr>
          <w:rFonts w:hint="eastAsia"/>
          <w:sz w:val="30"/>
          <w:szCs w:val="30"/>
        </w:rPr>
        <w:t>03</w:t>
      </w:r>
      <w:r>
        <w:rPr>
          <w:rFonts w:hint="eastAsia"/>
          <w:sz w:val="30"/>
          <w:szCs w:val="30"/>
        </w:rPr>
        <w:t>行终</w:t>
      </w:r>
      <w:r>
        <w:rPr>
          <w:rFonts w:hint="eastAsia"/>
          <w:sz w:val="30"/>
          <w:szCs w:val="30"/>
        </w:rPr>
        <w:t>297</w:t>
      </w:r>
      <w:r>
        <w:rPr>
          <w:rFonts w:hint="eastAsia"/>
          <w:sz w:val="30"/>
          <w:szCs w:val="30"/>
        </w:rPr>
        <w:t>号行政裁定，向本院申请再审。本院依法组成合议庭对本案进行了审查，现已审查终结。</w:t>
      </w:r>
    </w:p>
    <w:p w:rsidR="00000000" w:rsidRDefault="00921CBF">
      <w:pPr>
        <w:spacing w:line="500" w:lineRule="atLeast"/>
        <w:ind w:firstLine="600"/>
        <w:divId w:val="19204756"/>
        <w:rPr>
          <w:rFonts w:hint="eastAsia"/>
          <w:sz w:val="30"/>
          <w:szCs w:val="30"/>
        </w:rPr>
      </w:pPr>
      <w:r>
        <w:rPr>
          <w:rFonts w:hint="eastAsia"/>
          <w:sz w:val="30"/>
          <w:szCs w:val="30"/>
        </w:rPr>
        <w:t>王创创申请再审称，再审被申请人用不完整、不充分的病历鉴材去委托鉴定，行政行为不公正、不合法。医学会与专家组未依据《医疗事故处理条例》及医疗事故技术鉴定暂行办法，结合本案病历证据依法公正进行鉴定，告知与鉴定行为自相矛盾，鉴定专业类别错误。根据《医疗事故处理条例》第二条关于医疗事故的规定，再审被申请</w:t>
      </w:r>
      <w:r>
        <w:rPr>
          <w:rFonts w:hint="eastAsia"/>
          <w:sz w:val="30"/>
          <w:szCs w:val="30"/>
        </w:rPr>
        <w:t>人的行为并不是实施准备、论证、研究、层报、咨询等过程性行政行为。再审被申请人未审核而假称审核，不依法履行法定职责，徇私作弊，是可诉的行政行为。一、二审法院袒护再审被申请人，判决错误。请求撤销一、二审行政裁定，立案再审本案。</w:t>
      </w:r>
    </w:p>
    <w:p w:rsidR="00000000" w:rsidRDefault="00921CBF">
      <w:pPr>
        <w:spacing w:line="500" w:lineRule="atLeast"/>
        <w:ind w:firstLine="600"/>
        <w:divId w:val="1517111748"/>
        <w:rPr>
          <w:rFonts w:hint="eastAsia"/>
          <w:sz w:val="30"/>
          <w:szCs w:val="30"/>
        </w:rPr>
      </w:pPr>
      <w:r>
        <w:rPr>
          <w:rFonts w:hint="eastAsia"/>
          <w:sz w:val="30"/>
          <w:szCs w:val="30"/>
        </w:rPr>
        <w:t>本院经审查认为，本案中，申请人王创创因和正骨医院之间发生医疗事故纠纷，请求洛阳市卫健委予以处理。洛阳市卫健委依照相关规定，将鉴定工作委托给洛阳市医学会进行，并</w:t>
      </w:r>
      <w:r>
        <w:rPr>
          <w:rFonts w:hint="eastAsia"/>
          <w:sz w:val="30"/>
          <w:szCs w:val="30"/>
        </w:rPr>
        <w:lastRenderedPageBreak/>
        <w:t>对洛阳市医学会作出的洛阳医鉴［</w:t>
      </w:r>
      <w:r>
        <w:rPr>
          <w:rFonts w:hint="eastAsia"/>
          <w:sz w:val="30"/>
          <w:szCs w:val="30"/>
        </w:rPr>
        <w:t>2016</w:t>
      </w:r>
      <w:r>
        <w:rPr>
          <w:rFonts w:hint="eastAsia"/>
          <w:sz w:val="30"/>
          <w:szCs w:val="30"/>
        </w:rPr>
        <w:t>］</w:t>
      </w:r>
      <w:r>
        <w:rPr>
          <w:rFonts w:hint="eastAsia"/>
          <w:sz w:val="30"/>
          <w:szCs w:val="30"/>
        </w:rPr>
        <w:t>024</w:t>
      </w:r>
      <w:r>
        <w:rPr>
          <w:rFonts w:hint="eastAsia"/>
          <w:sz w:val="30"/>
          <w:szCs w:val="30"/>
        </w:rPr>
        <w:t>号《医疗事故技术鉴定书》进行了审核。王创创认为洛阳市卫健委进行审核时，未按照《医疗事</w:t>
      </w:r>
      <w:r>
        <w:rPr>
          <w:rFonts w:hint="eastAsia"/>
          <w:sz w:val="30"/>
          <w:szCs w:val="30"/>
        </w:rPr>
        <w:t>故处理条例》的相关规定尽到谨慎审核义务的行政行为违法。根据《医疗事故处理条例》第四十一条、第四十二条规定，卫生行政部门收到负责组织医疗事故技术鉴定工作的医学会出具的医疗事故技术鉴定书后，应当对参加鉴定的人员资格和专业类别、鉴定程序进行审核。卫生行政部门经审核，对符合该条例规定作出的医疗事故技术鉴定结论，应当作为对发生医疗事故的医疗机构和医务人员作出行政处理以及进行医疗事故赔偿调解的依据。由此可见，洛阳市卫健委对医疗事故技术鉴定书的审核，系将鉴定书作为一种证据材料而进行的形式上的审查。相对于洛阳市卫健委对医疗</w:t>
      </w:r>
      <w:r>
        <w:rPr>
          <w:rFonts w:hint="eastAsia"/>
          <w:sz w:val="30"/>
          <w:szCs w:val="30"/>
        </w:rPr>
        <w:t>事故最终作出的行政处理决定，审核行为可视为过程性行为，且该审核意见并不影响当事人在对医疗事故技术鉴定书不服时，根据《医疗事故处理条例》和《医疗事故技术鉴定暂行办法》申请重新鉴定。因此，该审核行为对申请人的权利义务并不产生实际影响。根据《最高人民法院关于适用〈中华人民共和国行政诉讼法〉的解释》第一条第二款第（六）项规定，行政机关为作出行政行为而实施的准备、论证、研究、层报、咨询等过程性行为不属于人民法院行政诉讼的受案范围。因此，洛阳市卫健委对案涉医疗事故技术鉴定书的审核行为，不属于人民法院行政诉讼的受案范围。</w:t>
      </w:r>
      <w:r>
        <w:rPr>
          <w:rFonts w:hint="eastAsia"/>
          <w:sz w:val="30"/>
          <w:szCs w:val="30"/>
        </w:rPr>
        <w:t>本案二审法院裁定维持一审行政裁定，即驳回王创创的起诉正确。王创创再审申请理由不能成立，依法应予驳回。依照《最高人民法院关于适用〈中华人民共和国行政诉讼法〉的解释》第一百一十六条第二款之规定，裁定如下：</w:t>
      </w:r>
    </w:p>
    <w:p w:rsidR="00000000" w:rsidRDefault="00921CBF">
      <w:pPr>
        <w:spacing w:line="500" w:lineRule="atLeast"/>
        <w:ind w:firstLine="600"/>
        <w:divId w:val="2086144365"/>
        <w:rPr>
          <w:rFonts w:hint="eastAsia"/>
          <w:sz w:val="30"/>
          <w:szCs w:val="30"/>
        </w:rPr>
      </w:pPr>
      <w:r>
        <w:rPr>
          <w:rFonts w:hint="eastAsia"/>
          <w:sz w:val="30"/>
          <w:szCs w:val="30"/>
        </w:rPr>
        <w:t>驳回王创创的再审申请。</w:t>
      </w:r>
    </w:p>
    <w:p w:rsidR="00000000" w:rsidRDefault="00921CBF">
      <w:pPr>
        <w:spacing w:line="500" w:lineRule="atLeast"/>
        <w:jc w:val="right"/>
        <w:divId w:val="473106664"/>
        <w:rPr>
          <w:rFonts w:hint="eastAsia"/>
          <w:sz w:val="30"/>
          <w:szCs w:val="30"/>
        </w:rPr>
      </w:pPr>
      <w:r>
        <w:rPr>
          <w:rFonts w:hint="eastAsia"/>
          <w:sz w:val="30"/>
          <w:szCs w:val="30"/>
        </w:rPr>
        <w:t>审判长　马　磊</w:t>
      </w:r>
    </w:p>
    <w:p w:rsidR="00000000" w:rsidRDefault="00921CBF">
      <w:pPr>
        <w:spacing w:line="500" w:lineRule="atLeast"/>
        <w:jc w:val="right"/>
        <w:divId w:val="1134181130"/>
        <w:rPr>
          <w:rFonts w:hint="eastAsia"/>
          <w:sz w:val="30"/>
          <w:szCs w:val="30"/>
        </w:rPr>
      </w:pPr>
      <w:r>
        <w:rPr>
          <w:rFonts w:hint="eastAsia"/>
          <w:sz w:val="30"/>
          <w:szCs w:val="30"/>
        </w:rPr>
        <w:lastRenderedPageBreak/>
        <w:t>审判员　马传贤</w:t>
      </w:r>
    </w:p>
    <w:p w:rsidR="00000000" w:rsidRDefault="00921CBF">
      <w:pPr>
        <w:spacing w:line="500" w:lineRule="atLeast"/>
        <w:jc w:val="right"/>
        <w:divId w:val="195892384"/>
        <w:rPr>
          <w:rFonts w:hint="eastAsia"/>
          <w:sz w:val="30"/>
          <w:szCs w:val="30"/>
        </w:rPr>
      </w:pPr>
      <w:r>
        <w:rPr>
          <w:rFonts w:hint="eastAsia"/>
          <w:sz w:val="30"/>
          <w:szCs w:val="30"/>
        </w:rPr>
        <w:t>审判员　蒋跃峰</w:t>
      </w:r>
    </w:p>
    <w:p w:rsidR="00000000" w:rsidRDefault="00921CBF">
      <w:pPr>
        <w:spacing w:line="500" w:lineRule="atLeast"/>
        <w:jc w:val="right"/>
        <w:divId w:val="1488132688"/>
        <w:rPr>
          <w:rFonts w:hint="eastAsia"/>
          <w:sz w:val="30"/>
          <w:szCs w:val="30"/>
        </w:rPr>
      </w:pPr>
      <w:r>
        <w:rPr>
          <w:rFonts w:hint="eastAsia"/>
          <w:sz w:val="30"/>
          <w:szCs w:val="30"/>
        </w:rPr>
        <w:t>二〇二〇年十二月十八日</w:t>
      </w:r>
    </w:p>
    <w:p w:rsidR="00000000" w:rsidRDefault="00921CBF">
      <w:pPr>
        <w:spacing w:line="500" w:lineRule="atLeast"/>
        <w:ind w:firstLine="600"/>
        <w:divId w:val="62992872"/>
        <w:rPr>
          <w:rFonts w:hint="eastAsia"/>
          <w:sz w:val="30"/>
          <w:szCs w:val="30"/>
        </w:rPr>
      </w:pPr>
      <w:r>
        <w:rPr>
          <w:rFonts w:hint="eastAsia"/>
          <w:sz w:val="30"/>
          <w:szCs w:val="30"/>
        </w:rPr>
        <w:t>法官助理刘月华</w:t>
      </w:r>
    </w:p>
    <w:p w:rsidR="00000000" w:rsidRDefault="00921CBF">
      <w:pPr>
        <w:spacing w:line="500" w:lineRule="atLeast"/>
        <w:ind w:firstLine="600"/>
        <w:divId w:val="354429016"/>
        <w:rPr>
          <w:rFonts w:hint="eastAsia"/>
          <w:sz w:val="30"/>
          <w:szCs w:val="30"/>
        </w:rPr>
      </w:pPr>
      <w:r>
        <w:rPr>
          <w:rFonts w:hint="eastAsia"/>
          <w:sz w:val="30"/>
          <w:szCs w:val="30"/>
        </w:rPr>
        <w:t>书记员王贺霞</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1CBF" w:rsidRDefault="00921CBF" w:rsidP="00921CBF">
      <w:r>
        <w:separator/>
      </w:r>
    </w:p>
  </w:endnote>
  <w:endnote w:type="continuationSeparator" w:id="0">
    <w:p w:rsidR="00921CBF" w:rsidRDefault="00921CBF" w:rsidP="00921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1CBF" w:rsidRDefault="00921CBF" w:rsidP="00921CBF">
      <w:r>
        <w:separator/>
      </w:r>
    </w:p>
  </w:footnote>
  <w:footnote w:type="continuationSeparator" w:id="0">
    <w:p w:rsidR="00921CBF" w:rsidRDefault="00921CBF" w:rsidP="00921C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21CBF"/>
    <w:rsid w:val="00921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21C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1CBF"/>
    <w:rPr>
      <w:rFonts w:ascii="宋体" w:eastAsia="宋体" w:hAnsi="宋体" w:cs="宋体"/>
      <w:sz w:val="18"/>
      <w:szCs w:val="18"/>
    </w:rPr>
  </w:style>
  <w:style w:type="paragraph" w:styleId="a5">
    <w:name w:val="footer"/>
    <w:basedOn w:val="a"/>
    <w:link w:val="a6"/>
    <w:uiPriority w:val="99"/>
    <w:unhideWhenUsed/>
    <w:rsid w:val="00921CBF"/>
    <w:pPr>
      <w:tabs>
        <w:tab w:val="center" w:pos="4153"/>
        <w:tab w:val="right" w:pos="8306"/>
      </w:tabs>
      <w:snapToGrid w:val="0"/>
    </w:pPr>
    <w:rPr>
      <w:sz w:val="18"/>
      <w:szCs w:val="18"/>
    </w:rPr>
  </w:style>
  <w:style w:type="character" w:customStyle="1" w:styleId="a6">
    <w:name w:val="页脚 字符"/>
    <w:basedOn w:val="a0"/>
    <w:link w:val="a5"/>
    <w:uiPriority w:val="99"/>
    <w:rsid w:val="00921CB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4756">
      <w:marLeft w:val="0"/>
      <w:marRight w:val="0"/>
      <w:marTop w:val="10"/>
      <w:marBottom w:val="10"/>
      <w:divBdr>
        <w:top w:val="none" w:sz="0" w:space="0" w:color="auto"/>
        <w:left w:val="none" w:sz="0" w:space="0" w:color="auto"/>
        <w:bottom w:val="none" w:sz="0" w:space="0" w:color="auto"/>
        <w:right w:val="none" w:sz="0" w:space="0" w:color="auto"/>
      </w:divBdr>
    </w:div>
    <w:div w:id="62992872">
      <w:marLeft w:val="0"/>
      <w:marRight w:val="0"/>
      <w:marTop w:val="10"/>
      <w:marBottom w:val="10"/>
      <w:divBdr>
        <w:top w:val="none" w:sz="0" w:space="0" w:color="auto"/>
        <w:left w:val="none" w:sz="0" w:space="0" w:color="auto"/>
        <w:bottom w:val="none" w:sz="0" w:space="0" w:color="auto"/>
        <w:right w:val="none" w:sz="0" w:space="0" w:color="auto"/>
      </w:divBdr>
    </w:div>
    <w:div w:id="106852393">
      <w:marLeft w:val="0"/>
      <w:marRight w:val="0"/>
      <w:marTop w:val="10"/>
      <w:marBottom w:val="10"/>
      <w:divBdr>
        <w:top w:val="none" w:sz="0" w:space="0" w:color="auto"/>
        <w:left w:val="none" w:sz="0" w:space="0" w:color="auto"/>
        <w:bottom w:val="none" w:sz="0" w:space="0" w:color="auto"/>
        <w:right w:val="none" w:sz="0" w:space="0" w:color="auto"/>
      </w:divBdr>
    </w:div>
    <w:div w:id="195892384">
      <w:marLeft w:val="0"/>
      <w:marRight w:val="720"/>
      <w:marTop w:val="10"/>
      <w:marBottom w:val="10"/>
      <w:divBdr>
        <w:top w:val="none" w:sz="0" w:space="0" w:color="auto"/>
        <w:left w:val="none" w:sz="0" w:space="0" w:color="auto"/>
        <w:bottom w:val="none" w:sz="0" w:space="0" w:color="auto"/>
        <w:right w:val="none" w:sz="0" w:space="0" w:color="auto"/>
      </w:divBdr>
    </w:div>
    <w:div w:id="247079869">
      <w:marLeft w:val="0"/>
      <w:marRight w:val="0"/>
      <w:marTop w:val="10"/>
      <w:marBottom w:val="10"/>
      <w:divBdr>
        <w:top w:val="none" w:sz="0" w:space="0" w:color="auto"/>
        <w:left w:val="none" w:sz="0" w:space="0" w:color="auto"/>
        <w:bottom w:val="none" w:sz="0" w:space="0" w:color="auto"/>
        <w:right w:val="none" w:sz="0" w:space="0" w:color="auto"/>
      </w:divBdr>
    </w:div>
    <w:div w:id="354429016">
      <w:marLeft w:val="0"/>
      <w:marRight w:val="0"/>
      <w:marTop w:val="10"/>
      <w:marBottom w:val="10"/>
      <w:divBdr>
        <w:top w:val="none" w:sz="0" w:space="0" w:color="auto"/>
        <w:left w:val="none" w:sz="0" w:space="0" w:color="auto"/>
        <w:bottom w:val="none" w:sz="0" w:space="0" w:color="auto"/>
        <w:right w:val="none" w:sz="0" w:space="0" w:color="auto"/>
      </w:divBdr>
    </w:div>
    <w:div w:id="473106664">
      <w:marLeft w:val="0"/>
      <w:marRight w:val="720"/>
      <w:marTop w:val="10"/>
      <w:marBottom w:val="10"/>
      <w:divBdr>
        <w:top w:val="none" w:sz="0" w:space="0" w:color="auto"/>
        <w:left w:val="none" w:sz="0" w:space="0" w:color="auto"/>
        <w:bottom w:val="none" w:sz="0" w:space="0" w:color="auto"/>
        <w:right w:val="none" w:sz="0" w:space="0" w:color="auto"/>
      </w:divBdr>
    </w:div>
    <w:div w:id="733238291">
      <w:marLeft w:val="0"/>
      <w:marRight w:val="0"/>
      <w:marTop w:val="10"/>
      <w:marBottom w:val="10"/>
      <w:divBdr>
        <w:top w:val="none" w:sz="0" w:space="0" w:color="auto"/>
        <w:left w:val="none" w:sz="0" w:space="0" w:color="auto"/>
        <w:bottom w:val="none" w:sz="0" w:space="0" w:color="auto"/>
        <w:right w:val="none" w:sz="0" w:space="0" w:color="auto"/>
      </w:divBdr>
    </w:div>
    <w:div w:id="744646678">
      <w:marLeft w:val="0"/>
      <w:marRight w:val="0"/>
      <w:marTop w:val="10"/>
      <w:marBottom w:val="10"/>
      <w:divBdr>
        <w:top w:val="none" w:sz="0" w:space="0" w:color="auto"/>
        <w:left w:val="none" w:sz="0" w:space="0" w:color="auto"/>
        <w:bottom w:val="none" w:sz="0" w:space="0" w:color="auto"/>
        <w:right w:val="none" w:sz="0" w:space="0" w:color="auto"/>
      </w:divBdr>
    </w:div>
    <w:div w:id="791678218">
      <w:marLeft w:val="0"/>
      <w:marRight w:val="0"/>
      <w:marTop w:val="10"/>
      <w:marBottom w:val="10"/>
      <w:divBdr>
        <w:top w:val="none" w:sz="0" w:space="0" w:color="auto"/>
        <w:left w:val="none" w:sz="0" w:space="0" w:color="auto"/>
        <w:bottom w:val="none" w:sz="0" w:space="0" w:color="auto"/>
        <w:right w:val="none" w:sz="0" w:space="0" w:color="auto"/>
      </w:divBdr>
    </w:div>
    <w:div w:id="890195139">
      <w:marLeft w:val="0"/>
      <w:marRight w:val="0"/>
      <w:marTop w:val="10"/>
      <w:marBottom w:val="10"/>
      <w:divBdr>
        <w:top w:val="none" w:sz="0" w:space="0" w:color="auto"/>
        <w:left w:val="none" w:sz="0" w:space="0" w:color="auto"/>
        <w:bottom w:val="none" w:sz="0" w:space="0" w:color="auto"/>
        <w:right w:val="none" w:sz="0" w:space="0" w:color="auto"/>
      </w:divBdr>
    </w:div>
    <w:div w:id="1134181130">
      <w:marLeft w:val="0"/>
      <w:marRight w:val="720"/>
      <w:marTop w:val="10"/>
      <w:marBottom w:val="10"/>
      <w:divBdr>
        <w:top w:val="none" w:sz="0" w:space="0" w:color="auto"/>
        <w:left w:val="none" w:sz="0" w:space="0" w:color="auto"/>
        <w:bottom w:val="none" w:sz="0" w:space="0" w:color="auto"/>
        <w:right w:val="none" w:sz="0" w:space="0" w:color="auto"/>
      </w:divBdr>
    </w:div>
    <w:div w:id="1488132688">
      <w:marLeft w:val="0"/>
      <w:marRight w:val="720"/>
      <w:marTop w:val="10"/>
      <w:marBottom w:val="10"/>
      <w:divBdr>
        <w:top w:val="none" w:sz="0" w:space="0" w:color="auto"/>
        <w:left w:val="none" w:sz="0" w:space="0" w:color="auto"/>
        <w:bottom w:val="none" w:sz="0" w:space="0" w:color="auto"/>
        <w:right w:val="none" w:sz="0" w:space="0" w:color="auto"/>
      </w:divBdr>
    </w:div>
    <w:div w:id="1517111748">
      <w:marLeft w:val="0"/>
      <w:marRight w:val="0"/>
      <w:marTop w:val="10"/>
      <w:marBottom w:val="10"/>
      <w:divBdr>
        <w:top w:val="none" w:sz="0" w:space="0" w:color="auto"/>
        <w:left w:val="none" w:sz="0" w:space="0" w:color="auto"/>
        <w:bottom w:val="none" w:sz="0" w:space="0" w:color="auto"/>
        <w:right w:val="none" w:sz="0" w:space="0" w:color="auto"/>
      </w:divBdr>
    </w:div>
    <w:div w:id="1846941822">
      <w:marLeft w:val="0"/>
      <w:marRight w:val="0"/>
      <w:marTop w:val="10"/>
      <w:marBottom w:val="10"/>
      <w:divBdr>
        <w:top w:val="none" w:sz="0" w:space="0" w:color="auto"/>
        <w:left w:val="none" w:sz="0" w:space="0" w:color="auto"/>
        <w:bottom w:val="none" w:sz="0" w:space="0" w:color="auto"/>
        <w:right w:val="none" w:sz="0" w:space="0" w:color="auto"/>
      </w:divBdr>
    </w:div>
    <w:div w:id="2058965685">
      <w:marLeft w:val="0"/>
      <w:marRight w:val="0"/>
      <w:marTop w:val="10"/>
      <w:marBottom w:val="10"/>
      <w:divBdr>
        <w:top w:val="none" w:sz="0" w:space="0" w:color="auto"/>
        <w:left w:val="none" w:sz="0" w:space="0" w:color="auto"/>
        <w:bottom w:val="none" w:sz="0" w:space="0" w:color="auto"/>
        <w:right w:val="none" w:sz="0" w:space="0" w:color="auto"/>
      </w:divBdr>
    </w:div>
    <w:div w:id="208614436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2023-04-10T06:58:00Z</dcterms:created>
  <dcterms:modified xsi:type="dcterms:W3CDTF">2023-04-10T06:58:00Z</dcterms:modified>
</cp:coreProperties>
</file>