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764B4">
      <w:pPr>
        <w:spacing w:line="500" w:lineRule="atLeast"/>
        <w:jc w:val="center"/>
        <w:divId w:val="1800611182"/>
        <w:rPr>
          <w:rFonts w:ascii="黑体" w:eastAsia="黑体" w:hAnsi="黑体"/>
          <w:sz w:val="36"/>
          <w:szCs w:val="36"/>
        </w:rPr>
      </w:pPr>
      <w:bookmarkStart w:id="0" w:name="_GoBack"/>
      <w:bookmarkEnd w:id="0"/>
      <w:r>
        <w:rPr>
          <w:rFonts w:ascii="黑体" w:eastAsia="黑体" w:hAnsi="黑体" w:hint="eastAsia"/>
          <w:sz w:val="36"/>
          <w:szCs w:val="36"/>
        </w:rPr>
        <w:t>天津市高级人民法院</w:t>
      </w:r>
    </w:p>
    <w:p w:rsidR="00000000" w:rsidRDefault="003764B4">
      <w:pPr>
        <w:spacing w:line="500" w:lineRule="atLeast"/>
        <w:jc w:val="center"/>
        <w:divId w:val="1982341825"/>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764B4">
      <w:pPr>
        <w:spacing w:line="500" w:lineRule="atLeast"/>
        <w:jc w:val="right"/>
        <w:divId w:val="1594780714"/>
        <w:rPr>
          <w:rFonts w:hint="eastAsia"/>
          <w:sz w:val="30"/>
          <w:szCs w:val="30"/>
        </w:rPr>
      </w:pPr>
      <w:r>
        <w:rPr>
          <w:rFonts w:hint="eastAsia"/>
          <w:sz w:val="30"/>
          <w:szCs w:val="30"/>
        </w:rPr>
        <w:t>（</w:t>
      </w:r>
      <w:r>
        <w:rPr>
          <w:rFonts w:hint="eastAsia"/>
          <w:sz w:val="30"/>
          <w:szCs w:val="30"/>
        </w:rPr>
        <w:t>2020</w:t>
      </w:r>
      <w:r>
        <w:rPr>
          <w:rFonts w:hint="eastAsia"/>
          <w:sz w:val="30"/>
          <w:szCs w:val="30"/>
        </w:rPr>
        <w:t>）津行申</w:t>
      </w:r>
      <w:r>
        <w:rPr>
          <w:rFonts w:hint="eastAsia"/>
          <w:sz w:val="30"/>
          <w:szCs w:val="30"/>
        </w:rPr>
        <w:t>153</w:t>
      </w:r>
      <w:r>
        <w:rPr>
          <w:rFonts w:hint="eastAsia"/>
          <w:sz w:val="30"/>
          <w:szCs w:val="30"/>
        </w:rPr>
        <w:t>号</w:t>
      </w:r>
    </w:p>
    <w:p w:rsidR="00000000" w:rsidRDefault="003764B4">
      <w:pPr>
        <w:spacing w:line="500" w:lineRule="atLeast"/>
        <w:ind w:firstLine="600"/>
        <w:divId w:val="1067609214"/>
        <w:rPr>
          <w:rFonts w:hint="eastAsia"/>
          <w:sz w:val="30"/>
          <w:szCs w:val="30"/>
        </w:rPr>
      </w:pPr>
      <w:r>
        <w:rPr>
          <w:rFonts w:hint="eastAsia"/>
          <w:sz w:val="30"/>
          <w:szCs w:val="30"/>
        </w:rPr>
        <w:t>再审申请人（一审原告、二审上诉人）王教淞，男，</w:t>
      </w:r>
      <w:r>
        <w:rPr>
          <w:rFonts w:hint="eastAsia"/>
          <w:sz w:val="30"/>
          <w:szCs w:val="30"/>
        </w:rPr>
        <w:t>1962</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日出生，公民身份号码</w:t>
      </w:r>
      <w:r>
        <w:rPr>
          <w:rFonts w:hint="eastAsia"/>
          <w:sz w:val="30"/>
          <w:szCs w:val="30"/>
        </w:rPr>
        <w:t>1021051962</w:t>
      </w:r>
      <w:r>
        <w:rPr>
          <w:rFonts w:hint="eastAsia"/>
          <w:sz w:val="30"/>
          <w:szCs w:val="30"/>
        </w:rPr>
        <w:t>××××××××，汉族，住天津市河东区。</w:t>
      </w:r>
    </w:p>
    <w:p w:rsidR="00000000" w:rsidRDefault="003764B4">
      <w:pPr>
        <w:spacing w:line="500" w:lineRule="atLeast"/>
        <w:ind w:firstLine="600"/>
        <w:divId w:val="975917585"/>
        <w:rPr>
          <w:rFonts w:hint="eastAsia"/>
          <w:sz w:val="30"/>
          <w:szCs w:val="30"/>
        </w:rPr>
      </w:pPr>
      <w:r>
        <w:rPr>
          <w:rFonts w:hint="eastAsia"/>
          <w:sz w:val="30"/>
          <w:szCs w:val="30"/>
        </w:rPr>
        <w:t>被申请人（一审被告、二审被上诉人）天津市和平区卫生健康委员会，住所地天津市和平区烟台道</w:t>
      </w:r>
      <w:r>
        <w:rPr>
          <w:rFonts w:hint="eastAsia"/>
          <w:sz w:val="30"/>
          <w:szCs w:val="30"/>
        </w:rPr>
        <w:t>80</w:t>
      </w:r>
      <w:r>
        <w:rPr>
          <w:rFonts w:hint="eastAsia"/>
          <w:sz w:val="30"/>
          <w:szCs w:val="30"/>
        </w:rPr>
        <w:t>号。</w:t>
      </w:r>
    </w:p>
    <w:p w:rsidR="00000000" w:rsidRDefault="003764B4">
      <w:pPr>
        <w:spacing w:line="500" w:lineRule="atLeast"/>
        <w:ind w:firstLine="600"/>
        <w:divId w:val="1856575134"/>
        <w:rPr>
          <w:rFonts w:hint="eastAsia"/>
          <w:sz w:val="30"/>
          <w:szCs w:val="30"/>
        </w:rPr>
      </w:pPr>
      <w:r>
        <w:rPr>
          <w:rFonts w:hint="eastAsia"/>
          <w:sz w:val="30"/>
          <w:szCs w:val="30"/>
        </w:rPr>
        <w:t>法定代表人毕晓娜，该委员会主任。</w:t>
      </w:r>
    </w:p>
    <w:p w:rsidR="00000000" w:rsidRDefault="003764B4">
      <w:pPr>
        <w:spacing w:line="500" w:lineRule="atLeast"/>
        <w:ind w:firstLine="600"/>
        <w:divId w:val="834109233"/>
        <w:rPr>
          <w:rFonts w:hint="eastAsia"/>
          <w:sz w:val="30"/>
          <w:szCs w:val="30"/>
        </w:rPr>
      </w:pPr>
      <w:r>
        <w:rPr>
          <w:rFonts w:hint="eastAsia"/>
          <w:sz w:val="30"/>
          <w:szCs w:val="30"/>
        </w:rPr>
        <w:t>再审申请人王教淞因诉被申请人天津市和平区卫生健康委员会撤销调查回复一案，不服天津市第一中级人民法院</w:t>
      </w:r>
      <w:r>
        <w:rPr>
          <w:rFonts w:hint="eastAsia"/>
          <w:sz w:val="30"/>
          <w:szCs w:val="30"/>
        </w:rPr>
        <w:t>(2019)</w:t>
      </w:r>
      <w:r>
        <w:rPr>
          <w:rFonts w:hint="eastAsia"/>
          <w:sz w:val="30"/>
          <w:szCs w:val="30"/>
        </w:rPr>
        <w:t>津</w:t>
      </w:r>
      <w:r>
        <w:rPr>
          <w:rFonts w:hint="eastAsia"/>
          <w:sz w:val="30"/>
          <w:szCs w:val="30"/>
        </w:rPr>
        <w:t>01</w:t>
      </w:r>
      <w:r>
        <w:rPr>
          <w:rFonts w:hint="eastAsia"/>
          <w:sz w:val="30"/>
          <w:szCs w:val="30"/>
        </w:rPr>
        <w:t>行终</w:t>
      </w:r>
      <w:r>
        <w:rPr>
          <w:rFonts w:hint="eastAsia"/>
          <w:sz w:val="30"/>
          <w:szCs w:val="30"/>
        </w:rPr>
        <w:t>854</w:t>
      </w:r>
      <w:r>
        <w:rPr>
          <w:rFonts w:hint="eastAsia"/>
          <w:sz w:val="30"/>
          <w:szCs w:val="30"/>
        </w:rPr>
        <w:t>号行政判决，向本院申请再审。本院依法组成合议庭对本案进行了审查，现已审查终结。</w:t>
      </w:r>
    </w:p>
    <w:p w:rsidR="00000000" w:rsidRDefault="003764B4">
      <w:pPr>
        <w:spacing w:line="500" w:lineRule="atLeast"/>
        <w:ind w:firstLine="600"/>
        <w:divId w:val="383793084"/>
        <w:rPr>
          <w:rFonts w:hint="eastAsia"/>
          <w:sz w:val="30"/>
          <w:szCs w:val="30"/>
        </w:rPr>
      </w:pPr>
      <w:r>
        <w:rPr>
          <w:rFonts w:hint="eastAsia"/>
          <w:sz w:val="30"/>
          <w:szCs w:val="30"/>
        </w:rPr>
        <w:t>王教淞申请再审称：</w:t>
      </w:r>
      <w:r>
        <w:rPr>
          <w:rFonts w:hint="eastAsia"/>
          <w:sz w:val="30"/>
          <w:szCs w:val="30"/>
        </w:rPr>
        <w:t>1.</w:t>
      </w:r>
      <w:r>
        <w:rPr>
          <w:rFonts w:hint="eastAsia"/>
          <w:sz w:val="30"/>
          <w:szCs w:val="30"/>
        </w:rPr>
        <w:t>为了国家的和谐、安全和社会的稳定，每个公民都有权力和义务对社会上的不良现象和违法行为进行揭发举报；</w:t>
      </w:r>
      <w:r>
        <w:rPr>
          <w:rFonts w:hint="eastAsia"/>
          <w:sz w:val="30"/>
          <w:szCs w:val="30"/>
        </w:rPr>
        <w:t>2.</w:t>
      </w:r>
      <w:r>
        <w:rPr>
          <w:rFonts w:hint="eastAsia"/>
          <w:sz w:val="30"/>
          <w:szCs w:val="30"/>
        </w:rPr>
        <w:t>再审申请人的举报内容是天津市眼科医院伪造篡改患者病历的行为，这种行为严重侵害了老百姓和人民合法权益，再审申请人的举报可以代表大多数人民及患者的愿望；</w:t>
      </w:r>
      <w:r>
        <w:rPr>
          <w:rFonts w:hint="eastAsia"/>
          <w:sz w:val="30"/>
          <w:szCs w:val="30"/>
        </w:rPr>
        <w:t>3.</w:t>
      </w:r>
      <w:r>
        <w:rPr>
          <w:rFonts w:hint="eastAsia"/>
          <w:sz w:val="30"/>
          <w:szCs w:val="30"/>
        </w:rPr>
        <w:t>被申请人对再审申请人举报的答复</w:t>
      </w:r>
      <w:r>
        <w:rPr>
          <w:rFonts w:hint="eastAsia"/>
          <w:sz w:val="30"/>
          <w:szCs w:val="30"/>
        </w:rPr>
        <w:t>是“无法认定”天津市眼科医院伪造、篡改患者病历的事实，再审申请人提供了确凿的证据，被申请人都视而不见、不闻不问，不履职尽责；</w:t>
      </w:r>
      <w:r>
        <w:rPr>
          <w:rFonts w:hint="eastAsia"/>
          <w:sz w:val="30"/>
          <w:szCs w:val="30"/>
        </w:rPr>
        <w:t>4.</w:t>
      </w:r>
      <w:r>
        <w:rPr>
          <w:rFonts w:hint="eastAsia"/>
          <w:sz w:val="30"/>
          <w:szCs w:val="30"/>
        </w:rPr>
        <w:t>被申请人“无法认定”却不做司法鉴定，再审申请人向法院申请司法鉴定但两审法院不准许，官官相护，相互包庇，逃避责任。综上，再审申请人不服二审行政判决，依据《中华人民共和国行政诉讼法》第九十一条第（三）、（四）、（六）、（八）项规定，请求撤销被申请人作出的调查回复并重新仔细、真实作出正确的调查回复。</w:t>
      </w:r>
    </w:p>
    <w:p w:rsidR="00000000" w:rsidRDefault="003764B4">
      <w:pPr>
        <w:spacing w:line="500" w:lineRule="atLeast"/>
        <w:ind w:firstLine="600"/>
        <w:divId w:val="1308507192"/>
        <w:rPr>
          <w:rFonts w:hint="eastAsia"/>
          <w:sz w:val="30"/>
          <w:szCs w:val="30"/>
        </w:rPr>
      </w:pPr>
      <w:r>
        <w:rPr>
          <w:rFonts w:hint="eastAsia"/>
          <w:sz w:val="30"/>
          <w:szCs w:val="30"/>
        </w:rPr>
        <w:lastRenderedPageBreak/>
        <w:t>本院认为，再审申请人请求撤销被诉《关于“市卫生计生委关于移交王教淞举报信”的调查回复》并</w:t>
      </w:r>
      <w:r>
        <w:rPr>
          <w:rFonts w:hint="eastAsia"/>
          <w:sz w:val="30"/>
          <w:szCs w:val="30"/>
        </w:rPr>
        <w:t>重新作出处理，本案焦点是再审申请人的诉讼请求是否应予支持。经审查，再审申请人就涉案投诉举报事项，即天津市眼科医院伪造篡改患者病历事项，曾于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月向被申请人（原天津市和平区卫生和计划生育委员会）电话进行信访反映，被申请人于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日向再审申请人作出《关于反映天津市眼科医院篡改病历信访事项的调查回复》，告知“…尚无法认定天津市眼科医院存在篡改病历的行为。…我委对你来电反映的信访事项依法不予支持…”</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日，被申请人收到原天津市卫生和计划生育委员会转来《关于移交王教淞举报信的通知》，</w:t>
      </w:r>
      <w:r>
        <w:rPr>
          <w:rFonts w:hint="eastAsia"/>
          <w:sz w:val="30"/>
          <w:szCs w:val="30"/>
        </w:rPr>
        <w:t>主要内容是：“我委信访收到王教淞举报天津市眼科医院伪造篡改患者病历一事的信访件，以及你委于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作出的信访事项调查回复，…此案件适用《卫生行政处罚程序》，由医疗机构辖区卫生计生委受理并决定是否立案调查，现移交你单位监督执法，请依法办理并答复举报人。”被申请人接到原天津市卫生和计划生育委员会《关于移交王教淞举报信的通知》后，具有对再审申请人涉案投诉举报再行作出本案被诉调查回复行为的职责义务。针对再审申请人反映天津市眼科医院篡改患者病历，主张天津市眼科医院存在三次篡改患者孙玉荣的手术知情同意书等情</w:t>
      </w:r>
      <w:r>
        <w:rPr>
          <w:rFonts w:hint="eastAsia"/>
          <w:sz w:val="30"/>
          <w:szCs w:val="30"/>
        </w:rPr>
        <w:t>形，被申请人对再审申请人所反映事项的具体情况向再审申请人进行了核实、询问，对天津市眼科医院的涉案相关病历材料进行了调取核查，多次找天津市眼科医院及相关医护人员实地调查并制作谈话笔录，根据调查核实的情况，被申请人认为天津市眼科医院的行为，是将知情同意记录中各项空白处诸如患者基本信息、医师签名等处进行补全，不存在采用刮、粘、涂等方法掩盖或去除原来的字迹等方法对</w:t>
      </w:r>
      <w:r>
        <w:rPr>
          <w:rFonts w:hint="eastAsia"/>
          <w:sz w:val="30"/>
          <w:szCs w:val="30"/>
        </w:rPr>
        <w:lastRenderedPageBreak/>
        <w:t>病历进行涂改、伪造、隐匿、销毁的行为，该行为未对患者真实病情有任何隐瞒、篡改，不会对患者的治疗过程、治疗方式、患病情况等产生任何影响。被申请人认定天津市眼</w:t>
      </w:r>
      <w:r>
        <w:rPr>
          <w:rFonts w:hint="eastAsia"/>
          <w:sz w:val="30"/>
          <w:szCs w:val="30"/>
        </w:rPr>
        <w:t>科医院的行为属于对患者孙玉荣病历中不完整、不规范的部分予以补全完善，不构成《医疗事故处理条例》所规定的伪造、篡改病历违法行为，系运用卫生领域专业知识作出的专业判断，从天津市眼科医院及相关医护人员所做补填行为的主观方面、客观方面等因素考虑，被申请人的认定结论并无不妥。被申请人作出本案被诉《关于“市卫生计生委关于移交王教淞举报信”的调查回复》，告知再审申请人进行调查核实的情况以及无法认定天津市眼科医院篡改病历、不予立案的处理结论，亦无不妥。再审申请人请求撤销被诉《关于“市卫生计生委关于移交王教淞举报信”的调查回</w:t>
      </w:r>
      <w:r>
        <w:rPr>
          <w:rFonts w:hint="eastAsia"/>
          <w:sz w:val="30"/>
          <w:szCs w:val="30"/>
        </w:rPr>
        <w:t>复》并重新作出处理的诉讼请求，缺乏事实和法律依据，两审法院判决驳回再审申请人全部诉讼请求，并无不当。再审申请人的再审请求，本院不予支持。</w:t>
      </w:r>
    </w:p>
    <w:p w:rsidR="00000000" w:rsidRDefault="003764B4">
      <w:pPr>
        <w:spacing w:line="500" w:lineRule="atLeast"/>
        <w:ind w:firstLine="600"/>
        <w:divId w:val="1246039465"/>
        <w:rPr>
          <w:rFonts w:hint="eastAsia"/>
          <w:sz w:val="30"/>
          <w:szCs w:val="30"/>
        </w:rPr>
      </w:pPr>
      <w:r>
        <w:rPr>
          <w:rFonts w:hint="eastAsia"/>
          <w:sz w:val="30"/>
          <w:szCs w:val="30"/>
        </w:rPr>
        <w:t>综上，王教淞的再审申请不符合《中华人民共和国行政诉讼法》第九十一条规定的情形。依照《最高人民法院关于适用〈中华人民共和国行政诉讼法〉的解释》第一百一十六条第二款之规定，裁定如下：</w:t>
      </w:r>
    </w:p>
    <w:p w:rsidR="00000000" w:rsidRDefault="003764B4">
      <w:pPr>
        <w:spacing w:line="500" w:lineRule="atLeast"/>
        <w:ind w:firstLine="600"/>
        <w:divId w:val="330792058"/>
        <w:rPr>
          <w:rFonts w:hint="eastAsia"/>
          <w:sz w:val="30"/>
          <w:szCs w:val="30"/>
        </w:rPr>
      </w:pPr>
      <w:r>
        <w:rPr>
          <w:rFonts w:hint="eastAsia"/>
          <w:sz w:val="30"/>
          <w:szCs w:val="30"/>
        </w:rPr>
        <w:t>驳回王教淞的再审申请。</w:t>
      </w:r>
    </w:p>
    <w:p w:rsidR="00000000" w:rsidRDefault="003764B4">
      <w:pPr>
        <w:spacing w:line="500" w:lineRule="atLeast"/>
        <w:jc w:val="right"/>
        <w:divId w:val="1940991973"/>
        <w:rPr>
          <w:rFonts w:hint="eastAsia"/>
          <w:sz w:val="30"/>
          <w:szCs w:val="30"/>
        </w:rPr>
      </w:pPr>
      <w:r>
        <w:rPr>
          <w:rFonts w:hint="eastAsia"/>
          <w:sz w:val="30"/>
          <w:szCs w:val="30"/>
        </w:rPr>
        <w:t>审判长　　王雅晶</w:t>
      </w:r>
    </w:p>
    <w:p w:rsidR="00000000" w:rsidRDefault="003764B4">
      <w:pPr>
        <w:spacing w:line="500" w:lineRule="atLeast"/>
        <w:jc w:val="right"/>
        <w:divId w:val="192112502"/>
        <w:rPr>
          <w:rFonts w:hint="eastAsia"/>
          <w:sz w:val="30"/>
          <w:szCs w:val="30"/>
        </w:rPr>
      </w:pPr>
      <w:r>
        <w:rPr>
          <w:rFonts w:hint="eastAsia"/>
          <w:sz w:val="30"/>
          <w:szCs w:val="30"/>
        </w:rPr>
        <w:t>审判员　　李　瑾</w:t>
      </w:r>
    </w:p>
    <w:p w:rsidR="00000000" w:rsidRDefault="003764B4">
      <w:pPr>
        <w:spacing w:line="500" w:lineRule="atLeast"/>
        <w:jc w:val="right"/>
        <w:divId w:val="1263689911"/>
        <w:rPr>
          <w:rFonts w:hint="eastAsia"/>
          <w:sz w:val="30"/>
          <w:szCs w:val="30"/>
        </w:rPr>
      </w:pPr>
      <w:r>
        <w:rPr>
          <w:rFonts w:hint="eastAsia"/>
          <w:sz w:val="30"/>
          <w:szCs w:val="30"/>
        </w:rPr>
        <w:t>审判员　　刘　琳</w:t>
      </w:r>
    </w:p>
    <w:p w:rsidR="00000000" w:rsidRDefault="003764B4">
      <w:pPr>
        <w:spacing w:line="500" w:lineRule="atLeast"/>
        <w:jc w:val="right"/>
        <w:divId w:val="2084987782"/>
        <w:rPr>
          <w:rFonts w:hint="eastAsia"/>
          <w:sz w:val="30"/>
          <w:szCs w:val="30"/>
        </w:rPr>
      </w:pPr>
      <w:r>
        <w:rPr>
          <w:rFonts w:hint="eastAsia"/>
          <w:sz w:val="30"/>
          <w:szCs w:val="30"/>
        </w:rPr>
        <w:t>二〇二〇年五月二十八日</w:t>
      </w:r>
    </w:p>
    <w:p w:rsidR="00000000" w:rsidRDefault="003764B4">
      <w:pPr>
        <w:spacing w:line="500" w:lineRule="atLeast"/>
        <w:ind w:firstLine="600"/>
        <w:divId w:val="1126852684"/>
        <w:rPr>
          <w:rFonts w:hint="eastAsia"/>
          <w:sz w:val="30"/>
          <w:szCs w:val="30"/>
        </w:rPr>
      </w:pPr>
      <w:r>
        <w:rPr>
          <w:rFonts w:hint="eastAsia"/>
          <w:sz w:val="30"/>
          <w:szCs w:val="30"/>
        </w:rPr>
        <w:t>法官助理焦阳</w:t>
      </w:r>
    </w:p>
    <w:p w:rsidR="00000000" w:rsidRDefault="003764B4">
      <w:pPr>
        <w:spacing w:line="500" w:lineRule="atLeast"/>
        <w:ind w:firstLine="600"/>
        <w:divId w:val="1609461691"/>
        <w:rPr>
          <w:rFonts w:hint="eastAsia"/>
          <w:sz w:val="30"/>
          <w:szCs w:val="30"/>
        </w:rPr>
      </w:pPr>
      <w:r>
        <w:rPr>
          <w:rFonts w:hint="eastAsia"/>
          <w:sz w:val="30"/>
          <w:szCs w:val="30"/>
        </w:rPr>
        <w:t>书记员牛丽澄</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4B4" w:rsidRDefault="003764B4" w:rsidP="003764B4">
      <w:r>
        <w:separator/>
      </w:r>
    </w:p>
  </w:endnote>
  <w:endnote w:type="continuationSeparator" w:id="0">
    <w:p w:rsidR="003764B4" w:rsidRDefault="003764B4" w:rsidP="0037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4B4" w:rsidRDefault="003764B4" w:rsidP="003764B4">
      <w:r>
        <w:separator/>
      </w:r>
    </w:p>
  </w:footnote>
  <w:footnote w:type="continuationSeparator" w:id="0">
    <w:p w:rsidR="003764B4" w:rsidRDefault="003764B4" w:rsidP="003764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64B4"/>
    <w:rsid w:val="00376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764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64B4"/>
    <w:rPr>
      <w:rFonts w:ascii="宋体" w:eastAsia="宋体" w:hAnsi="宋体" w:cs="宋体"/>
      <w:sz w:val="18"/>
      <w:szCs w:val="18"/>
    </w:rPr>
  </w:style>
  <w:style w:type="paragraph" w:styleId="a5">
    <w:name w:val="footer"/>
    <w:basedOn w:val="a"/>
    <w:link w:val="a6"/>
    <w:uiPriority w:val="99"/>
    <w:unhideWhenUsed/>
    <w:rsid w:val="003764B4"/>
    <w:pPr>
      <w:tabs>
        <w:tab w:val="center" w:pos="4153"/>
        <w:tab w:val="right" w:pos="8306"/>
      </w:tabs>
      <w:snapToGrid w:val="0"/>
    </w:pPr>
    <w:rPr>
      <w:sz w:val="18"/>
      <w:szCs w:val="18"/>
    </w:rPr>
  </w:style>
  <w:style w:type="character" w:customStyle="1" w:styleId="a6">
    <w:name w:val="页脚 字符"/>
    <w:basedOn w:val="a0"/>
    <w:link w:val="a5"/>
    <w:uiPriority w:val="99"/>
    <w:rsid w:val="003764B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2502">
      <w:marLeft w:val="0"/>
      <w:marRight w:val="720"/>
      <w:marTop w:val="10"/>
      <w:marBottom w:val="10"/>
      <w:divBdr>
        <w:top w:val="none" w:sz="0" w:space="0" w:color="auto"/>
        <w:left w:val="none" w:sz="0" w:space="0" w:color="auto"/>
        <w:bottom w:val="none" w:sz="0" w:space="0" w:color="auto"/>
        <w:right w:val="none" w:sz="0" w:space="0" w:color="auto"/>
      </w:divBdr>
    </w:div>
    <w:div w:id="330792058">
      <w:marLeft w:val="0"/>
      <w:marRight w:val="0"/>
      <w:marTop w:val="10"/>
      <w:marBottom w:val="10"/>
      <w:divBdr>
        <w:top w:val="none" w:sz="0" w:space="0" w:color="auto"/>
        <w:left w:val="none" w:sz="0" w:space="0" w:color="auto"/>
        <w:bottom w:val="none" w:sz="0" w:space="0" w:color="auto"/>
        <w:right w:val="none" w:sz="0" w:space="0" w:color="auto"/>
      </w:divBdr>
    </w:div>
    <w:div w:id="383793084">
      <w:marLeft w:val="0"/>
      <w:marRight w:val="0"/>
      <w:marTop w:val="10"/>
      <w:marBottom w:val="10"/>
      <w:divBdr>
        <w:top w:val="none" w:sz="0" w:space="0" w:color="auto"/>
        <w:left w:val="none" w:sz="0" w:space="0" w:color="auto"/>
        <w:bottom w:val="none" w:sz="0" w:space="0" w:color="auto"/>
        <w:right w:val="none" w:sz="0" w:space="0" w:color="auto"/>
      </w:divBdr>
    </w:div>
    <w:div w:id="834109233">
      <w:marLeft w:val="0"/>
      <w:marRight w:val="0"/>
      <w:marTop w:val="10"/>
      <w:marBottom w:val="10"/>
      <w:divBdr>
        <w:top w:val="none" w:sz="0" w:space="0" w:color="auto"/>
        <w:left w:val="none" w:sz="0" w:space="0" w:color="auto"/>
        <w:bottom w:val="none" w:sz="0" w:space="0" w:color="auto"/>
        <w:right w:val="none" w:sz="0" w:space="0" w:color="auto"/>
      </w:divBdr>
    </w:div>
    <w:div w:id="975917585">
      <w:marLeft w:val="0"/>
      <w:marRight w:val="0"/>
      <w:marTop w:val="10"/>
      <w:marBottom w:val="10"/>
      <w:divBdr>
        <w:top w:val="none" w:sz="0" w:space="0" w:color="auto"/>
        <w:left w:val="none" w:sz="0" w:space="0" w:color="auto"/>
        <w:bottom w:val="none" w:sz="0" w:space="0" w:color="auto"/>
        <w:right w:val="none" w:sz="0" w:space="0" w:color="auto"/>
      </w:divBdr>
    </w:div>
    <w:div w:id="1067609214">
      <w:marLeft w:val="0"/>
      <w:marRight w:val="0"/>
      <w:marTop w:val="10"/>
      <w:marBottom w:val="10"/>
      <w:divBdr>
        <w:top w:val="none" w:sz="0" w:space="0" w:color="auto"/>
        <w:left w:val="none" w:sz="0" w:space="0" w:color="auto"/>
        <w:bottom w:val="none" w:sz="0" w:space="0" w:color="auto"/>
        <w:right w:val="none" w:sz="0" w:space="0" w:color="auto"/>
      </w:divBdr>
    </w:div>
    <w:div w:id="1126852684">
      <w:marLeft w:val="0"/>
      <w:marRight w:val="0"/>
      <w:marTop w:val="10"/>
      <w:marBottom w:val="10"/>
      <w:divBdr>
        <w:top w:val="none" w:sz="0" w:space="0" w:color="auto"/>
        <w:left w:val="none" w:sz="0" w:space="0" w:color="auto"/>
        <w:bottom w:val="none" w:sz="0" w:space="0" w:color="auto"/>
        <w:right w:val="none" w:sz="0" w:space="0" w:color="auto"/>
      </w:divBdr>
    </w:div>
    <w:div w:id="1246039465">
      <w:marLeft w:val="0"/>
      <w:marRight w:val="0"/>
      <w:marTop w:val="10"/>
      <w:marBottom w:val="10"/>
      <w:divBdr>
        <w:top w:val="none" w:sz="0" w:space="0" w:color="auto"/>
        <w:left w:val="none" w:sz="0" w:space="0" w:color="auto"/>
        <w:bottom w:val="none" w:sz="0" w:space="0" w:color="auto"/>
        <w:right w:val="none" w:sz="0" w:space="0" w:color="auto"/>
      </w:divBdr>
    </w:div>
    <w:div w:id="1263689911">
      <w:marLeft w:val="0"/>
      <w:marRight w:val="720"/>
      <w:marTop w:val="10"/>
      <w:marBottom w:val="10"/>
      <w:divBdr>
        <w:top w:val="none" w:sz="0" w:space="0" w:color="auto"/>
        <w:left w:val="none" w:sz="0" w:space="0" w:color="auto"/>
        <w:bottom w:val="none" w:sz="0" w:space="0" w:color="auto"/>
        <w:right w:val="none" w:sz="0" w:space="0" w:color="auto"/>
      </w:divBdr>
    </w:div>
    <w:div w:id="1308507192">
      <w:marLeft w:val="0"/>
      <w:marRight w:val="0"/>
      <w:marTop w:val="10"/>
      <w:marBottom w:val="10"/>
      <w:divBdr>
        <w:top w:val="none" w:sz="0" w:space="0" w:color="auto"/>
        <w:left w:val="none" w:sz="0" w:space="0" w:color="auto"/>
        <w:bottom w:val="none" w:sz="0" w:space="0" w:color="auto"/>
        <w:right w:val="none" w:sz="0" w:space="0" w:color="auto"/>
      </w:divBdr>
    </w:div>
    <w:div w:id="1594780714">
      <w:marLeft w:val="0"/>
      <w:marRight w:val="0"/>
      <w:marTop w:val="10"/>
      <w:marBottom w:val="10"/>
      <w:divBdr>
        <w:top w:val="none" w:sz="0" w:space="0" w:color="auto"/>
        <w:left w:val="none" w:sz="0" w:space="0" w:color="auto"/>
        <w:bottom w:val="none" w:sz="0" w:space="0" w:color="auto"/>
        <w:right w:val="none" w:sz="0" w:space="0" w:color="auto"/>
      </w:divBdr>
    </w:div>
    <w:div w:id="1609461691">
      <w:marLeft w:val="0"/>
      <w:marRight w:val="0"/>
      <w:marTop w:val="10"/>
      <w:marBottom w:val="10"/>
      <w:divBdr>
        <w:top w:val="none" w:sz="0" w:space="0" w:color="auto"/>
        <w:left w:val="none" w:sz="0" w:space="0" w:color="auto"/>
        <w:bottom w:val="none" w:sz="0" w:space="0" w:color="auto"/>
        <w:right w:val="none" w:sz="0" w:space="0" w:color="auto"/>
      </w:divBdr>
    </w:div>
    <w:div w:id="1800611182">
      <w:marLeft w:val="0"/>
      <w:marRight w:val="0"/>
      <w:marTop w:val="10"/>
      <w:marBottom w:val="10"/>
      <w:divBdr>
        <w:top w:val="none" w:sz="0" w:space="0" w:color="auto"/>
        <w:left w:val="none" w:sz="0" w:space="0" w:color="auto"/>
        <w:bottom w:val="none" w:sz="0" w:space="0" w:color="auto"/>
        <w:right w:val="none" w:sz="0" w:space="0" w:color="auto"/>
      </w:divBdr>
    </w:div>
    <w:div w:id="1856575134">
      <w:marLeft w:val="0"/>
      <w:marRight w:val="0"/>
      <w:marTop w:val="10"/>
      <w:marBottom w:val="10"/>
      <w:divBdr>
        <w:top w:val="none" w:sz="0" w:space="0" w:color="auto"/>
        <w:left w:val="none" w:sz="0" w:space="0" w:color="auto"/>
        <w:bottom w:val="none" w:sz="0" w:space="0" w:color="auto"/>
        <w:right w:val="none" w:sz="0" w:space="0" w:color="auto"/>
      </w:divBdr>
    </w:div>
    <w:div w:id="1940991973">
      <w:marLeft w:val="0"/>
      <w:marRight w:val="720"/>
      <w:marTop w:val="10"/>
      <w:marBottom w:val="10"/>
      <w:divBdr>
        <w:top w:val="none" w:sz="0" w:space="0" w:color="auto"/>
        <w:left w:val="none" w:sz="0" w:space="0" w:color="auto"/>
        <w:bottom w:val="none" w:sz="0" w:space="0" w:color="auto"/>
        <w:right w:val="none" w:sz="0" w:space="0" w:color="auto"/>
      </w:divBdr>
    </w:div>
    <w:div w:id="1982341825">
      <w:marLeft w:val="0"/>
      <w:marRight w:val="0"/>
      <w:marTop w:val="10"/>
      <w:marBottom w:val="10"/>
      <w:divBdr>
        <w:top w:val="none" w:sz="0" w:space="0" w:color="auto"/>
        <w:left w:val="none" w:sz="0" w:space="0" w:color="auto"/>
        <w:bottom w:val="none" w:sz="0" w:space="0" w:color="auto"/>
        <w:right w:val="none" w:sz="0" w:space="0" w:color="auto"/>
      </w:divBdr>
    </w:div>
    <w:div w:id="208498778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