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46354B">
      <w:pPr>
        <w:spacing w:line="500" w:lineRule="atLeast"/>
        <w:jc w:val="center"/>
        <w:divId w:val="323558938"/>
        <w:rPr>
          <w:rFonts w:ascii="黑体" w:eastAsia="黑体" w:hAnsi="黑体"/>
          <w:sz w:val="36"/>
          <w:szCs w:val="36"/>
        </w:rPr>
      </w:pPr>
      <w:bookmarkStart w:id="0" w:name="_GoBack"/>
      <w:bookmarkEnd w:id="0"/>
      <w:r>
        <w:rPr>
          <w:rFonts w:ascii="黑体" w:eastAsia="黑体" w:hAnsi="黑体" w:hint="eastAsia"/>
          <w:sz w:val="36"/>
          <w:szCs w:val="36"/>
        </w:rPr>
        <w:t>安徽省高级人民法院</w:t>
      </w:r>
    </w:p>
    <w:p w:rsidR="00000000" w:rsidRDefault="0046354B">
      <w:pPr>
        <w:spacing w:line="500" w:lineRule="atLeast"/>
        <w:jc w:val="center"/>
        <w:divId w:val="1832988101"/>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46354B">
      <w:pPr>
        <w:spacing w:line="500" w:lineRule="atLeast"/>
        <w:jc w:val="right"/>
        <w:divId w:val="93523390"/>
        <w:rPr>
          <w:rFonts w:hint="eastAsia"/>
          <w:sz w:val="30"/>
          <w:szCs w:val="30"/>
        </w:rPr>
      </w:pPr>
      <w:r>
        <w:rPr>
          <w:rFonts w:hint="eastAsia"/>
          <w:sz w:val="30"/>
          <w:szCs w:val="30"/>
        </w:rPr>
        <w:t>（</w:t>
      </w:r>
      <w:r>
        <w:rPr>
          <w:rFonts w:hint="eastAsia"/>
          <w:sz w:val="30"/>
          <w:szCs w:val="30"/>
        </w:rPr>
        <w:t>2021</w:t>
      </w:r>
      <w:r>
        <w:rPr>
          <w:rFonts w:hint="eastAsia"/>
          <w:sz w:val="30"/>
          <w:szCs w:val="30"/>
        </w:rPr>
        <w:t>）皖民申</w:t>
      </w:r>
      <w:r>
        <w:rPr>
          <w:rFonts w:hint="eastAsia"/>
          <w:sz w:val="30"/>
          <w:szCs w:val="30"/>
        </w:rPr>
        <w:t>2428</w:t>
      </w:r>
      <w:r>
        <w:rPr>
          <w:rFonts w:hint="eastAsia"/>
          <w:sz w:val="30"/>
          <w:szCs w:val="30"/>
        </w:rPr>
        <w:t>号</w:t>
      </w:r>
    </w:p>
    <w:p w:rsidR="00000000" w:rsidRDefault="0046354B">
      <w:pPr>
        <w:spacing w:line="500" w:lineRule="atLeast"/>
        <w:ind w:firstLine="600"/>
        <w:divId w:val="751509312"/>
        <w:rPr>
          <w:rFonts w:hint="eastAsia"/>
          <w:sz w:val="30"/>
          <w:szCs w:val="30"/>
        </w:rPr>
      </w:pPr>
      <w:r>
        <w:rPr>
          <w:rFonts w:hint="eastAsia"/>
          <w:sz w:val="30"/>
          <w:szCs w:val="30"/>
        </w:rPr>
        <w:t>再审申请人（一审被告、二审上诉人）：皖南医学院弋矶山医院，住所地安徽省芜湖市赭山西路</w:t>
      </w:r>
      <w:r>
        <w:rPr>
          <w:rFonts w:hint="eastAsia"/>
          <w:sz w:val="30"/>
          <w:szCs w:val="30"/>
        </w:rPr>
        <w:t>2</w:t>
      </w:r>
      <w:r>
        <w:rPr>
          <w:rFonts w:hint="eastAsia"/>
          <w:sz w:val="30"/>
          <w:szCs w:val="30"/>
        </w:rPr>
        <w:t>号。</w:t>
      </w:r>
    </w:p>
    <w:p w:rsidR="00000000" w:rsidRDefault="0046354B">
      <w:pPr>
        <w:spacing w:line="500" w:lineRule="atLeast"/>
        <w:ind w:firstLine="600"/>
        <w:divId w:val="1780027292"/>
        <w:rPr>
          <w:rFonts w:hint="eastAsia"/>
          <w:sz w:val="30"/>
          <w:szCs w:val="30"/>
        </w:rPr>
      </w:pPr>
      <w:r>
        <w:rPr>
          <w:rFonts w:hint="eastAsia"/>
          <w:sz w:val="30"/>
          <w:szCs w:val="30"/>
        </w:rPr>
        <w:t>法定代表人：朱向明，该院院长。</w:t>
      </w:r>
    </w:p>
    <w:p w:rsidR="00000000" w:rsidRDefault="0046354B">
      <w:pPr>
        <w:spacing w:line="500" w:lineRule="atLeast"/>
        <w:ind w:firstLine="600"/>
        <w:divId w:val="1826318365"/>
        <w:rPr>
          <w:rFonts w:hint="eastAsia"/>
          <w:sz w:val="30"/>
          <w:szCs w:val="30"/>
        </w:rPr>
      </w:pPr>
      <w:r>
        <w:rPr>
          <w:rFonts w:hint="eastAsia"/>
          <w:sz w:val="30"/>
          <w:szCs w:val="30"/>
        </w:rPr>
        <w:t>委托诉讼代理人：刘虹，广东广和（芜湖）律师事务所律师。</w:t>
      </w:r>
    </w:p>
    <w:p w:rsidR="00000000" w:rsidRDefault="0046354B">
      <w:pPr>
        <w:spacing w:line="500" w:lineRule="atLeast"/>
        <w:ind w:firstLine="600"/>
        <w:divId w:val="1019967073"/>
        <w:rPr>
          <w:rFonts w:hint="eastAsia"/>
          <w:sz w:val="30"/>
          <w:szCs w:val="30"/>
        </w:rPr>
      </w:pPr>
      <w:r>
        <w:rPr>
          <w:rFonts w:hint="eastAsia"/>
          <w:sz w:val="30"/>
          <w:szCs w:val="30"/>
        </w:rPr>
        <w:t>委托诉讼代理人：丁京京，广东广和（芜湖）律师事务所律师。</w:t>
      </w:r>
    </w:p>
    <w:p w:rsidR="00000000" w:rsidRDefault="0046354B">
      <w:pPr>
        <w:spacing w:line="500" w:lineRule="atLeast"/>
        <w:ind w:firstLine="600"/>
        <w:divId w:val="475611840"/>
        <w:rPr>
          <w:rFonts w:hint="eastAsia"/>
          <w:sz w:val="30"/>
          <w:szCs w:val="30"/>
        </w:rPr>
      </w:pPr>
      <w:r>
        <w:rPr>
          <w:rFonts w:hint="eastAsia"/>
          <w:sz w:val="30"/>
          <w:szCs w:val="30"/>
        </w:rPr>
        <w:t>被申请人（一审原告、二审上诉人）：杨最宝，男，</w:t>
      </w:r>
      <w:r>
        <w:rPr>
          <w:rFonts w:hint="eastAsia"/>
          <w:sz w:val="30"/>
          <w:szCs w:val="30"/>
        </w:rPr>
        <w:t>1935</w:t>
      </w:r>
      <w:r>
        <w:rPr>
          <w:rFonts w:hint="eastAsia"/>
          <w:sz w:val="30"/>
          <w:szCs w:val="30"/>
        </w:rPr>
        <w:t>年</w:t>
      </w:r>
      <w:r>
        <w:rPr>
          <w:rFonts w:hint="eastAsia"/>
          <w:sz w:val="30"/>
          <w:szCs w:val="30"/>
        </w:rPr>
        <w:t>10</w:t>
      </w:r>
      <w:r>
        <w:rPr>
          <w:rFonts w:hint="eastAsia"/>
          <w:sz w:val="30"/>
          <w:szCs w:val="30"/>
        </w:rPr>
        <w:t>月</w:t>
      </w:r>
      <w:r>
        <w:rPr>
          <w:rFonts w:hint="eastAsia"/>
          <w:sz w:val="30"/>
          <w:szCs w:val="30"/>
        </w:rPr>
        <w:t>18</w:t>
      </w:r>
      <w:r>
        <w:rPr>
          <w:rFonts w:hint="eastAsia"/>
          <w:sz w:val="30"/>
          <w:szCs w:val="30"/>
        </w:rPr>
        <w:t>日出生，汉族，住安徽省芜湖市镜湖区。</w:t>
      </w:r>
    </w:p>
    <w:p w:rsidR="00000000" w:rsidRDefault="0046354B">
      <w:pPr>
        <w:spacing w:line="500" w:lineRule="atLeast"/>
        <w:ind w:firstLine="600"/>
        <w:divId w:val="1244872169"/>
        <w:rPr>
          <w:rFonts w:hint="eastAsia"/>
          <w:sz w:val="30"/>
          <w:szCs w:val="30"/>
        </w:rPr>
      </w:pPr>
      <w:r>
        <w:rPr>
          <w:rFonts w:hint="eastAsia"/>
          <w:sz w:val="30"/>
          <w:szCs w:val="30"/>
        </w:rPr>
        <w:t>委托诉讼代理人：杨先霞（系杨最宝女儿），住安徽省芜湖市镜湖区。</w:t>
      </w:r>
    </w:p>
    <w:p w:rsidR="00000000" w:rsidRDefault="0046354B">
      <w:pPr>
        <w:spacing w:line="500" w:lineRule="atLeast"/>
        <w:ind w:firstLine="600"/>
        <w:divId w:val="586035871"/>
        <w:rPr>
          <w:rFonts w:hint="eastAsia"/>
          <w:sz w:val="30"/>
          <w:szCs w:val="30"/>
        </w:rPr>
      </w:pPr>
      <w:r>
        <w:rPr>
          <w:rFonts w:hint="eastAsia"/>
          <w:sz w:val="30"/>
          <w:szCs w:val="30"/>
        </w:rPr>
        <w:t>再审申请人皖南医学院弋矶山医院（以下简称弋矶山医院）因与被申请人杨最宝医疗损害责任纠纷一案，不服安徽省芜湖市中级人民法院（</w:t>
      </w:r>
      <w:r>
        <w:rPr>
          <w:rFonts w:hint="eastAsia"/>
          <w:sz w:val="30"/>
          <w:szCs w:val="30"/>
        </w:rPr>
        <w:t>2020</w:t>
      </w:r>
      <w:r>
        <w:rPr>
          <w:rFonts w:hint="eastAsia"/>
          <w:sz w:val="30"/>
          <w:szCs w:val="30"/>
        </w:rPr>
        <w:t>）皖</w:t>
      </w:r>
      <w:r>
        <w:rPr>
          <w:rFonts w:hint="eastAsia"/>
          <w:sz w:val="30"/>
          <w:szCs w:val="30"/>
        </w:rPr>
        <w:t>02</w:t>
      </w:r>
      <w:r>
        <w:rPr>
          <w:rFonts w:hint="eastAsia"/>
          <w:sz w:val="30"/>
          <w:szCs w:val="30"/>
        </w:rPr>
        <w:t>民终</w:t>
      </w:r>
      <w:r>
        <w:rPr>
          <w:rFonts w:hint="eastAsia"/>
          <w:sz w:val="30"/>
          <w:szCs w:val="30"/>
        </w:rPr>
        <w:t>982</w:t>
      </w:r>
      <w:r>
        <w:rPr>
          <w:rFonts w:hint="eastAsia"/>
          <w:sz w:val="30"/>
          <w:szCs w:val="30"/>
        </w:rPr>
        <w:t>号民事判决，向本院申请再审。本院依法组成合议庭进行了审查，现已审查终结。</w:t>
      </w:r>
    </w:p>
    <w:p w:rsidR="00000000" w:rsidRDefault="0046354B">
      <w:pPr>
        <w:spacing w:line="500" w:lineRule="atLeast"/>
        <w:ind w:firstLine="600"/>
        <w:divId w:val="465199882"/>
        <w:rPr>
          <w:rFonts w:hint="eastAsia"/>
          <w:sz w:val="30"/>
          <w:szCs w:val="30"/>
        </w:rPr>
      </w:pPr>
      <w:r>
        <w:rPr>
          <w:rFonts w:hint="eastAsia"/>
          <w:sz w:val="30"/>
          <w:szCs w:val="30"/>
        </w:rPr>
        <w:t>弋矶山医院申请再审称，原判决存在《中华人民共和国民事诉讼法》第二百条第二项、第六项规定的情形，应予再审。事实和理由：一、原审法院认定鉴定不能的责任在弋矶山医院，与事实不符。武汉大学司法鉴定所以送鉴材料不充分、不完整将鉴定退回时，弋矶山医院就已及时提交遗漏材料，但杨最宝拒绝对补充材料进行质证</w:t>
      </w:r>
      <w:r>
        <w:rPr>
          <w:rFonts w:hint="eastAsia"/>
          <w:sz w:val="30"/>
          <w:szCs w:val="30"/>
        </w:rPr>
        <w:t>，导致鉴定无法进行。《医疗机构病历管理规定》第四条规定：按照病历记录形式不同，可区分为纸质病历和电子病历，电子病历与纸质病历具有同等效</w:t>
      </w:r>
      <w:r>
        <w:rPr>
          <w:rFonts w:hint="eastAsia"/>
          <w:sz w:val="30"/>
          <w:szCs w:val="30"/>
        </w:rPr>
        <w:lastRenderedPageBreak/>
        <w:t>力。弋矶山医院于案件发回重审后再次向一审法院提交了完整的病历复印件且提交了长期医嘱单、临时医嘱单的电子病历，但杨最宝仍拒绝进行质证，导致鉴定一直无法进行，不利后果应当由杨最宝承担。二、原审法院将杨最宝拒绝质证的行为定性为对弋矶山医院的不信任，过于片面。杨最宝拒绝质证的行为不是单纯出于对弋矶山医院的不信任，更多是为了阻碍鉴定的正常进行，以达到直接适用《中华人民共和国侵权责任法》</w:t>
      </w:r>
      <w:r>
        <w:rPr>
          <w:rFonts w:hint="eastAsia"/>
          <w:sz w:val="30"/>
          <w:szCs w:val="30"/>
        </w:rPr>
        <w:t>第五十八条规定，推定弋矶山医院有过错的目的。三、原审法院适用法律错误，弋矶山医院并不存在《中华人民共和国侵权责任法》第五十八条规定的情形。根据《医疗事故处理条例》第十六条的规定，护理记录、医嘱单、输液单等客观病历并未要求作封存处理，该部分病历未封存并不违反规定且不影响病历的真实性。在原审委托武汉大学司法鉴定所鉴定的过程中，弋矶山医院积极配合提交相关病历资料，并未刻意隐匿医嘱单。原审法院认定的是“漏封”病历，而不是隐匿、拒绝提供病历，更不是伪造、篡改、销毁病历。结合《安徽省高级人民法院关于审理医疗纠纷案件若干</w:t>
      </w:r>
      <w:r>
        <w:rPr>
          <w:rFonts w:hint="eastAsia"/>
          <w:sz w:val="30"/>
          <w:szCs w:val="30"/>
        </w:rPr>
        <w:t>问题的指导意见》第十九条相关规定，原审法院直接适用《中华人民共和国侵权责任法》第五十八条的规定，推定弋矶山医院的医疗行为存在过错与立法精神相悖。四、原审法院判决弋矶山医院对杨最宝承担</w:t>
      </w:r>
      <w:r>
        <w:rPr>
          <w:rFonts w:hint="eastAsia"/>
          <w:sz w:val="30"/>
          <w:szCs w:val="30"/>
        </w:rPr>
        <w:t>80%</w:t>
      </w:r>
      <w:r>
        <w:rPr>
          <w:rFonts w:hint="eastAsia"/>
          <w:sz w:val="30"/>
          <w:szCs w:val="30"/>
        </w:rPr>
        <w:t>赔偿责任没有依据。南京康宁司法鉴定中心出具的《关于杨最宝伤残等级鉴定的补充说明》，载明“……该左额颞叶脑梗发生与患者第一次手术之后，与医疗行为存在时间的关联性，……”。杨最宝左额颞叶脑梗发生在第一次手术后，二者确实有时间上的关联性，但时间上的关联性与因果关系是两个完全不同的概念，不能将二者等同。所有的医疗纠纷都是诊疗在先损</w:t>
      </w:r>
      <w:r>
        <w:rPr>
          <w:rFonts w:hint="eastAsia"/>
          <w:sz w:val="30"/>
          <w:szCs w:val="30"/>
        </w:rPr>
        <w:t>害在后，必然存在时间上的关联性。</w:t>
      </w:r>
    </w:p>
    <w:p w:rsidR="00000000" w:rsidRDefault="0046354B">
      <w:pPr>
        <w:spacing w:line="500" w:lineRule="atLeast"/>
        <w:ind w:firstLine="600"/>
        <w:divId w:val="458689460"/>
        <w:rPr>
          <w:rFonts w:hint="eastAsia"/>
          <w:sz w:val="30"/>
          <w:szCs w:val="30"/>
        </w:rPr>
      </w:pPr>
      <w:r>
        <w:rPr>
          <w:rFonts w:hint="eastAsia"/>
          <w:sz w:val="30"/>
          <w:szCs w:val="30"/>
        </w:rPr>
        <w:lastRenderedPageBreak/>
        <w:t>杨最宝提交意见称，一、原审法院认定导致鉴定不能的责任在于弋矶山医院证据确凿，推定弋矶山医院存在过错有法可依。弋矶山医院提交的封存病历中缺乏长期医嘱、临时医嘱部分，且直至鉴定听证当日医院也未能向鉴定机构提交该部分病历。由于鉴定材料缺乏关键证据，鉴定无法完成，医院方应当承担举证不能的法律后果。二、弋矶山医院的申请再审主张与事实不符，医嘱单是即时归档的病历，应当按规定即时放进病历资料中。院方故意隐匿放有全部医嘱单的关键病案袋不封存不提交，导致鉴定不能。三、弋矶山医院严重违反卫生部</w:t>
      </w:r>
      <w:r>
        <w:rPr>
          <w:rFonts w:hint="eastAsia"/>
          <w:sz w:val="30"/>
          <w:szCs w:val="30"/>
        </w:rPr>
        <w:t>病历管理规范，不按规定依法提交关键证据医嘱单，导致鉴定不能的责任在医院方，原审法院根据《中华人民共和国侵权责任法》第五十八条推定医院存在过错有法可依。即便弋矶山医院是漏封病历也是其自身的过错，亦应当承担举证不能的后果。四、弋矶山医院在原一、二审期间，怠于举证，违背诚信原则通过虚假陈述发回重审，试图通过重审补提交所谓医嘱单，应当承担无视举证规则隐匿医嘱单的违法成本。五、弋矶山医院的医疗过错与杨最宝脑损害之间存在直接因果关系。杨最宝</w:t>
      </w:r>
      <w:r>
        <w:rPr>
          <w:rFonts w:hint="eastAsia"/>
          <w:sz w:val="30"/>
          <w:szCs w:val="30"/>
        </w:rPr>
        <w:t>6</w:t>
      </w:r>
      <w:r>
        <w:rPr>
          <w:rFonts w:hint="eastAsia"/>
          <w:sz w:val="30"/>
          <w:szCs w:val="30"/>
        </w:rPr>
        <w:t>月</w:t>
      </w:r>
      <w:r>
        <w:rPr>
          <w:rFonts w:hint="eastAsia"/>
          <w:sz w:val="30"/>
          <w:szCs w:val="30"/>
        </w:rPr>
        <w:t>2</w:t>
      </w:r>
      <w:r>
        <w:rPr>
          <w:rFonts w:hint="eastAsia"/>
          <w:sz w:val="30"/>
          <w:szCs w:val="30"/>
        </w:rPr>
        <w:t>日实施手术后神志不清，医院未予注意，误以为是在镇静状态，延误治疗最终导致杨</w:t>
      </w:r>
      <w:r>
        <w:rPr>
          <w:rFonts w:hint="eastAsia"/>
          <w:sz w:val="30"/>
          <w:szCs w:val="30"/>
        </w:rPr>
        <w:t>最宝脑损害二级伤残。</w:t>
      </w:r>
    </w:p>
    <w:p w:rsidR="00000000" w:rsidRDefault="0046354B">
      <w:pPr>
        <w:spacing w:line="500" w:lineRule="atLeast"/>
        <w:ind w:firstLine="600"/>
        <w:divId w:val="323318220"/>
        <w:rPr>
          <w:rFonts w:hint="eastAsia"/>
          <w:sz w:val="30"/>
          <w:szCs w:val="30"/>
        </w:rPr>
      </w:pPr>
      <w:r>
        <w:rPr>
          <w:rFonts w:hint="eastAsia"/>
          <w:sz w:val="30"/>
          <w:szCs w:val="30"/>
        </w:rPr>
        <w:t>本院经审查认为，《中华人民共和国侵权责任法》第五十八条规定，患者有损害，因下列情形之一的，推定医疗机构有过错：（一）违反法律、行政法规、规章以及其他有关诊疗规范的规定；（二）隐匿或者拒绝提供与纠纷有关的病历资料；（三）伪造、篡改或者销毁病历资料。经双方当事人申请，一审法院委托武汉大学医学院法医司法鉴定所对弋矶山医院的医疗行为是否存在过错，医院的医疗行为与损害后果之间有无因果关系及原因力进行鉴定。因弋矶山医院提交的封存病历中缺乏长期医嘱、临时医嘱部分，且直至听证当日也未能及时提交该部分病</w:t>
      </w:r>
      <w:r>
        <w:rPr>
          <w:rFonts w:hint="eastAsia"/>
          <w:sz w:val="30"/>
          <w:szCs w:val="30"/>
        </w:rPr>
        <w:t>历，故武汉大学医学院法医司法鉴定所以送鉴材料不充分、不完整，无法完成委托鉴定事项为由，未予受理此次鉴定并退案。本案发回一审法院重审后，因弋矶山医院补充提供的长期医嘱单、临时医嘱单系封存病历档案中以外的材料，杨最宝亦拒绝对其真实性进行质证，医疗过错鉴定程序无法进行。弋矶山医院作为三甲医院，在医患纠纷发生后未按照规定及时封存病历资料，导致鉴定不能进行，应当对此承担责任，原审适用《中华人民共和国侵权责任法》第五十八条第一项的规定，推定弋矶山医院医疗行为存在过错，并无不当。</w:t>
      </w:r>
    </w:p>
    <w:p w:rsidR="00000000" w:rsidRDefault="0046354B">
      <w:pPr>
        <w:spacing w:line="500" w:lineRule="atLeast"/>
        <w:ind w:firstLine="600"/>
        <w:divId w:val="1182475914"/>
        <w:rPr>
          <w:rFonts w:hint="eastAsia"/>
          <w:sz w:val="30"/>
          <w:szCs w:val="30"/>
        </w:rPr>
      </w:pPr>
      <w:r>
        <w:rPr>
          <w:rFonts w:hint="eastAsia"/>
          <w:sz w:val="30"/>
          <w:szCs w:val="30"/>
        </w:rPr>
        <w:t>综上，弋矶山医院的再审申请不符合《中华人</w:t>
      </w:r>
      <w:r>
        <w:rPr>
          <w:rFonts w:hint="eastAsia"/>
          <w:sz w:val="30"/>
          <w:szCs w:val="30"/>
        </w:rPr>
        <w:t>民共和国民事诉讼法》第二百条第二项、第六项规定的情形，依据《中华人民共和国民事诉讼法》第二百零四条第一款，《最高人民法院关于适</w:t>
      </w:r>
      <w:r>
        <w:rPr>
          <w:rFonts w:hint="eastAsia"/>
          <w:sz w:val="30"/>
          <w:szCs w:val="30"/>
        </w:rPr>
        <w:t>用</w:t>
      </w:r>
      <w:r>
        <w:rPr>
          <w:rFonts w:hint="eastAsia"/>
          <w:sz w:val="30"/>
          <w:szCs w:val="30"/>
        </w:rPr>
        <w:t>的解释》第三百九十五条第二款的规定，裁定如下：</w:t>
      </w:r>
    </w:p>
    <w:p w:rsidR="00000000" w:rsidRDefault="0046354B">
      <w:pPr>
        <w:spacing w:line="500" w:lineRule="atLeast"/>
        <w:ind w:firstLine="600"/>
        <w:divId w:val="2113892158"/>
        <w:rPr>
          <w:rFonts w:hint="eastAsia"/>
          <w:sz w:val="30"/>
          <w:szCs w:val="30"/>
        </w:rPr>
      </w:pPr>
      <w:r>
        <w:rPr>
          <w:rFonts w:hint="eastAsia"/>
          <w:sz w:val="30"/>
          <w:szCs w:val="30"/>
        </w:rPr>
        <w:t>驳回皖南医学院弋矶山医院的再审申请。</w:t>
      </w:r>
    </w:p>
    <w:p w:rsidR="00000000" w:rsidRDefault="0046354B">
      <w:pPr>
        <w:spacing w:line="500" w:lineRule="atLeast"/>
        <w:jc w:val="right"/>
        <w:divId w:val="1329557730"/>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　张如果</w:t>
      </w:r>
    </w:p>
    <w:p w:rsidR="00000000" w:rsidRDefault="0046354B">
      <w:pPr>
        <w:spacing w:line="500" w:lineRule="atLeast"/>
        <w:jc w:val="right"/>
        <w:divId w:val="973095253"/>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胡小恒</w:t>
      </w:r>
    </w:p>
    <w:p w:rsidR="00000000" w:rsidRDefault="0046354B">
      <w:pPr>
        <w:spacing w:line="500" w:lineRule="atLeast"/>
        <w:jc w:val="right"/>
        <w:divId w:val="44377878"/>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台　旺</w:t>
      </w:r>
    </w:p>
    <w:p w:rsidR="00000000" w:rsidRDefault="0046354B">
      <w:pPr>
        <w:spacing w:line="500" w:lineRule="atLeast"/>
        <w:jc w:val="right"/>
        <w:divId w:val="421268644"/>
        <w:rPr>
          <w:rFonts w:hint="eastAsia"/>
          <w:sz w:val="30"/>
          <w:szCs w:val="30"/>
        </w:rPr>
      </w:pPr>
      <w:r>
        <w:rPr>
          <w:rFonts w:hint="eastAsia"/>
          <w:sz w:val="30"/>
          <w:szCs w:val="30"/>
        </w:rPr>
        <w:t>二〇二一年七月二十二日</w:t>
      </w:r>
    </w:p>
    <w:p w:rsidR="00000000" w:rsidRDefault="0046354B">
      <w:pPr>
        <w:spacing w:line="500" w:lineRule="atLeast"/>
        <w:jc w:val="right"/>
        <w:divId w:val="77794443"/>
        <w:rPr>
          <w:rFonts w:hint="eastAsia"/>
          <w:sz w:val="30"/>
          <w:szCs w:val="30"/>
        </w:rPr>
      </w:pPr>
      <w:r>
        <w:rPr>
          <w:rFonts w:hint="eastAsia"/>
          <w:sz w:val="30"/>
          <w:szCs w:val="30"/>
        </w:rPr>
        <w:t>法官助理　李红梅</w:t>
      </w:r>
    </w:p>
    <w:p w:rsidR="00000000" w:rsidRDefault="0046354B">
      <w:pPr>
        <w:spacing w:line="500" w:lineRule="atLeast"/>
        <w:jc w:val="right"/>
        <w:divId w:val="1143497860"/>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　刁　萌</w:t>
      </w:r>
    </w:p>
    <w:p w:rsidR="00000000" w:rsidRDefault="0046354B">
      <w:pPr>
        <w:spacing w:line="500" w:lineRule="atLeast"/>
        <w:ind w:firstLine="600"/>
        <w:divId w:val="1028482668"/>
        <w:rPr>
          <w:rFonts w:hint="eastAsia"/>
          <w:sz w:val="30"/>
          <w:szCs w:val="30"/>
        </w:rPr>
      </w:pPr>
      <w:r>
        <w:rPr>
          <w:rFonts w:hint="eastAsia"/>
          <w:sz w:val="30"/>
          <w:szCs w:val="30"/>
        </w:rPr>
        <w:t>附：本案适用相关法律条文</w:t>
      </w:r>
    </w:p>
    <w:p w:rsidR="00000000" w:rsidRDefault="0046354B">
      <w:pPr>
        <w:spacing w:line="500" w:lineRule="atLeast"/>
        <w:ind w:firstLine="600"/>
        <w:divId w:val="1455832602"/>
        <w:rPr>
          <w:rFonts w:hint="eastAsia"/>
          <w:sz w:val="30"/>
          <w:szCs w:val="30"/>
        </w:rPr>
      </w:pPr>
      <w:r>
        <w:rPr>
          <w:rFonts w:hint="eastAsia"/>
          <w:sz w:val="30"/>
          <w:szCs w:val="30"/>
        </w:rPr>
        <w:t>《中华人民共和国民事诉讼法》</w:t>
      </w:r>
    </w:p>
    <w:p w:rsidR="00000000" w:rsidRDefault="0046354B">
      <w:pPr>
        <w:spacing w:line="500" w:lineRule="atLeast"/>
        <w:ind w:firstLine="600"/>
        <w:divId w:val="1936668869"/>
        <w:rPr>
          <w:rFonts w:hint="eastAsia"/>
          <w:sz w:val="30"/>
          <w:szCs w:val="30"/>
        </w:rPr>
      </w:pPr>
      <w:r>
        <w:rPr>
          <w:rFonts w:hint="eastAsia"/>
          <w:sz w:val="30"/>
          <w:szCs w:val="30"/>
        </w:rPr>
        <w:t>第二百零四条人民法院应当自收到再审申请书之日起三个月内审查，符合本法规定的，裁定再审；不符合本法规定的，裁定驳回申请。有</w:t>
      </w:r>
      <w:r>
        <w:rPr>
          <w:rFonts w:hint="eastAsia"/>
          <w:sz w:val="30"/>
          <w:szCs w:val="30"/>
        </w:rPr>
        <w:t>特殊情况需要延长的，由本院院长批准。</w:t>
      </w:r>
    </w:p>
    <w:p w:rsidR="00000000" w:rsidRDefault="0046354B">
      <w:pPr>
        <w:spacing w:line="500" w:lineRule="atLeast"/>
        <w:ind w:firstLine="600"/>
        <w:divId w:val="109587913"/>
        <w:rPr>
          <w:rFonts w:hint="eastAsia"/>
          <w:sz w:val="30"/>
          <w:szCs w:val="30"/>
        </w:rPr>
      </w:pPr>
      <w:r>
        <w:rPr>
          <w:rFonts w:hint="eastAsia"/>
          <w:sz w:val="30"/>
          <w:szCs w:val="30"/>
        </w:rPr>
        <w:t>因当事人申请裁定再审的案件由中级人民法院以上的人民法院审理，但当事人依照本法第一百九十九条的规定选择向基层人民法院申请再审的除外。最高人民法院、高级人民法院裁定再审的案件，由本院再审或者交其他人民法院再审，也可以交原审人民法院再审。</w:t>
      </w:r>
    </w:p>
    <w:p w:rsidR="00000000" w:rsidRDefault="0046354B">
      <w:pPr>
        <w:spacing w:line="500" w:lineRule="atLeast"/>
        <w:ind w:firstLine="600"/>
        <w:divId w:val="2124883307"/>
        <w:rPr>
          <w:rFonts w:hint="eastAsia"/>
          <w:sz w:val="30"/>
          <w:szCs w:val="30"/>
        </w:rPr>
      </w:pPr>
      <w:r>
        <w:rPr>
          <w:rFonts w:hint="eastAsia"/>
          <w:sz w:val="30"/>
          <w:szCs w:val="30"/>
        </w:rPr>
        <w:t>《最高人民法院关于适用〈中华人民共和国民事诉讼法〉的解释》</w:t>
      </w:r>
    </w:p>
    <w:p w:rsidR="00000000" w:rsidRDefault="0046354B">
      <w:pPr>
        <w:spacing w:line="500" w:lineRule="atLeast"/>
        <w:ind w:firstLine="600"/>
        <w:divId w:val="2089492857"/>
        <w:rPr>
          <w:rFonts w:hint="eastAsia"/>
          <w:sz w:val="30"/>
          <w:szCs w:val="30"/>
        </w:rPr>
      </w:pPr>
      <w:r>
        <w:rPr>
          <w:rFonts w:hint="eastAsia"/>
          <w:sz w:val="30"/>
          <w:szCs w:val="30"/>
        </w:rPr>
        <w:t>第三百九十五条当事人主张的再审事由成立，且符合民事诉讼法和本解释规定的申请再审条件的，人民法院应当裁定再审。</w:t>
      </w:r>
    </w:p>
    <w:p w:rsidR="00000000" w:rsidRDefault="0046354B">
      <w:pPr>
        <w:spacing w:line="500" w:lineRule="atLeast"/>
        <w:ind w:firstLine="600"/>
        <w:divId w:val="550582878"/>
        <w:rPr>
          <w:rFonts w:hint="eastAsia"/>
          <w:sz w:val="30"/>
          <w:szCs w:val="30"/>
        </w:rPr>
      </w:pPr>
      <w:r>
        <w:rPr>
          <w:rFonts w:hint="eastAsia"/>
          <w:sz w:val="30"/>
          <w:szCs w:val="30"/>
        </w:rPr>
        <w:t>当事人主张的再审事由不成立，或者当事人申请再审超过法定申请再审期限、超出法定再审事由范围等不符合民事诉讼法和本解释规定的申请再审条件的，人民法院应当裁定驳回再审申请。</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354B" w:rsidRDefault="0046354B" w:rsidP="0046354B">
      <w:r>
        <w:separator/>
      </w:r>
    </w:p>
  </w:endnote>
  <w:endnote w:type="continuationSeparator" w:id="0">
    <w:p w:rsidR="0046354B" w:rsidRDefault="0046354B" w:rsidP="004635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354B" w:rsidRDefault="0046354B" w:rsidP="0046354B">
      <w:r>
        <w:separator/>
      </w:r>
    </w:p>
  </w:footnote>
  <w:footnote w:type="continuationSeparator" w:id="0">
    <w:p w:rsidR="0046354B" w:rsidRDefault="0046354B" w:rsidP="004635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6354B"/>
    <w:rsid w:val="004635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46354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6354B"/>
    <w:rPr>
      <w:rFonts w:ascii="宋体" w:eastAsia="宋体" w:hAnsi="宋体" w:cs="宋体"/>
      <w:sz w:val="18"/>
      <w:szCs w:val="18"/>
    </w:rPr>
  </w:style>
  <w:style w:type="paragraph" w:styleId="a5">
    <w:name w:val="footer"/>
    <w:basedOn w:val="a"/>
    <w:link w:val="a6"/>
    <w:uiPriority w:val="99"/>
    <w:unhideWhenUsed/>
    <w:rsid w:val="0046354B"/>
    <w:pPr>
      <w:tabs>
        <w:tab w:val="center" w:pos="4153"/>
        <w:tab w:val="right" w:pos="8306"/>
      </w:tabs>
      <w:snapToGrid w:val="0"/>
    </w:pPr>
    <w:rPr>
      <w:sz w:val="18"/>
      <w:szCs w:val="18"/>
    </w:rPr>
  </w:style>
  <w:style w:type="character" w:customStyle="1" w:styleId="a6">
    <w:name w:val="页脚 字符"/>
    <w:basedOn w:val="a0"/>
    <w:link w:val="a5"/>
    <w:uiPriority w:val="99"/>
    <w:rsid w:val="0046354B"/>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77878">
      <w:marLeft w:val="0"/>
      <w:marRight w:val="720"/>
      <w:marTop w:val="10"/>
      <w:marBottom w:val="10"/>
      <w:divBdr>
        <w:top w:val="none" w:sz="0" w:space="0" w:color="auto"/>
        <w:left w:val="none" w:sz="0" w:space="0" w:color="auto"/>
        <w:bottom w:val="none" w:sz="0" w:space="0" w:color="auto"/>
        <w:right w:val="none" w:sz="0" w:space="0" w:color="auto"/>
      </w:divBdr>
    </w:div>
    <w:div w:id="77794443">
      <w:marLeft w:val="0"/>
      <w:marRight w:val="720"/>
      <w:marTop w:val="10"/>
      <w:marBottom w:val="10"/>
      <w:divBdr>
        <w:top w:val="none" w:sz="0" w:space="0" w:color="auto"/>
        <w:left w:val="none" w:sz="0" w:space="0" w:color="auto"/>
        <w:bottom w:val="none" w:sz="0" w:space="0" w:color="auto"/>
        <w:right w:val="none" w:sz="0" w:space="0" w:color="auto"/>
      </w:divBdr>
    </w:div>
    <w:div w:id="93523390">
      <w:marLeft w:val="0"/>
      <w:marRight w:val="0"/>
      <w:marTop w:val="10"/>
      <w:marBottom w:val="10"/>
      <w:divBdr>
        <w:top w:val="none" w:sz="0" w:space="0" w:color="auto"/>
        <w:left w:val="none" w:sz="0" w:space="0" w:color="auto"/>
        <w:bottom w:val="none" w:sz="0" w:space="0" w:color="auto"/>
        <w:right w:val="none" w:sz="0" w:space="0" w:color="auto"/>
      </w:divBdr>
    </w:div>
    <w:div w:id="109587913">
      <w:marLeft w:val="0"/>
      <w:marRight w:val="0"/>
      <w:marTop w:val="10"/>
      <w:marBottom w:val="10"/>
      <w:divBdr>
        <w:top w:val="none" w:sz="0" w:space="0" w:color="auto"/>
        <w:left w:val="none" w:sz="0" w:space="0" w:color="auto"/>
        <w:bottom w:val="none" w:sz="0" w:space="0" w:color="auto"/>
        <w:right w:val="none" w:sz="0" w:space="0" w:color="auto"/>
      </w:divBdr>
    </w:div>
    <w:div w:id="323318220">
      <w:marLeft w:val="0"/>
      <w:marRight w:val="0"/>
      <w:marTop w:val="10"/>
      <w:marBottom w:val="10"/>
      <w:divBdr>
        <w:top w:val="none" w:sz="0" w:space="0" w:color="auto"/>
        <w:left w:val="none" w:sz="0" w:space="0" w:color="auto"/>
        <w:bottom w:val="none" w:sz="0" w:space="0" w:color="auto"/>
        <w:right w:val="none" w:sz="0" w:space="0" w:color="auto"/>
      </w:divBdr>
    </w:div>
    <w:div w:id="323558938">
      <w:marLeft w:val="0"/>
      <w:marRight w:val="0"/>
      <w:marTop w:val="10"/>
      <w:marBottom w:val="10"/>
      <w:divBdr>
        <w:top w:val="none" w:sz="0" w:space="0" w:color="auto"/>
        <w:left w:val="none" w:sz="0" w:space="0" w:color="auto"/>
        <w:bottom w:val="none" w:sz="0" w:space="0" w:color="auto"/>
        <w:right w:val="none" w:sz="0" w:space="0" w:color="auto"/>
      </w:divBdr>
    </w:div>
    <w:div w:id="421268644">
      <w:marLeft w:val="0"/>
      <w:marRight w:val="720"/>
      <w:marTop w:val="10"/>
      <w:marBottom w:val="10"/>
      <w:divBdr>
        <w:top w:val="none" w:sz="0" w:space="0" w:color="auto"/>
        <w:left w:val="none" w:sz="0" w:space="0" w:color="auto"/>
        <w:bottom w:val="none" w:sz="0" w:space="0" w:color="auto"/>
        <w:right w:val="none" w:sz="0" w:space="0" w:color="auto"/>
      </w:divBdr>
    </w:div>
    <w:div w:id="458689460">
      <w:marLeft w:val="0"/>
      <w:marRight w:val="0"/>
      <w:marTop w:val="10"/>
      <w:marBottom w:val="10"/>
      <w:divBdr>
        <w:top w:val="none" w:sz="0" w:space="0" w:color="auto"/>
        <w:left w:val="none" w:sz="0" w:space="0" w:color="auto"/>
        <w:bottom w:val="none" w:sz="0" w:space="0" w:color="auto"/>
        <w:right w:val="none" w:sz="0" w:space="0" w:color="auto"/>
      </w:divBdr>
    </w:div>
    <w:div w:id="465199882">
      <w:marLeft w:val="0"/>
      <w:marRight w:val="0"/>
      <w:marTop w:val="10"/>
      <w:marBottom w:val="10"/>
      <w:divBdr>
        <w:top w:val="none" w:sz="0" w:space="0" w:color="auto"/>
        <w:left w:val="none" w:sz="0" w:space="0" w:color="auto"/>
        <w:bottom w:val="none" w:sz="0" w:space="0" w:color="auto"/>
        <w:right w:val="none" w:sz="0" w:space="0" w:color="auto"/>
      </w:divBdr>
    </w:div>
    <w:div w:id="475611840">
      <w:marLeft w:val="0"/>
      <w:marRight w:val="0"/>
      <w:marTop w:val="10"/>
      <w:marBottom w:val="10"/>
      <w:divBdr>
        <w:top w:val="none" w:sz="0" w:space="0" w:color="auto"/>
        <w:left w:val="none" w:sz="0" w:space="0" w:color="auto"/>
        <w:bottom w:val="none" w:sz="0" w:space="0" w:color="auto"/>
        <w:right w:val="none" w:sz="0" w:space="0" w:color="auto"/>
      </w:divBdr>
    </w:div>
    <w:div w:id="550582878">
      <w:marLeft w:val="0"/>
      <w:marRight w:val="0"/>
      <w:marTop w:val="10"/>
      <w:marBottom w:val="10"/>
      <w:divBdr>
        <w:top w:val="none" w:sz="0" w:space="0" w:color="auto"/>
        <w:left w:val="none" w:sz="0" w:space="0" w:color="auto"/>
        <w:bottom w:val="none" w:sz="0" w:space="0" w:color="auto"/>
        <w:right w:val="none" w:sz="0" w:space="0" w:color="auto"/>
      </w:divBdr>
    </w:div>
    <w:div w:id="586035871">
      <w:marLeft w:val="0"/>
      <w:marRight w:val="0"/>
      <w:marTop w:val="10"/>
      <w:marBottom w:val="10"/>
      <w:divBdr>
        <w:top w:val="none" w:sz="0" w:space="0" w:color="auto"/>
        <w:left w:val="none" w:sz="0" w:space="0" w:color="auto"/>
        <w:bottom w:val="none" w:sz="0" w:space="0" w:color="auto"/>
        <w:right w:val="none" w:sz="0" w:space="0" w:color="auto"/>
      </w:divBdr>
    </w:div>
    <w:div w:id="751509312">
      <w:marLeft w:val="0"/>
      <w:marRight w:val="0"/>
      <w:marTop w:val="10"/>
      <w:marBottom w:val="10"/>
      <w:divBdr>
        <w:top w:val="none" w:sz="0" w:space="0" w:color="auto"/>
        <w:left w:val="none" w:sz="0" w:space="0" w:color="auto"/>
        <w:bottom w:val="none" w:sz="0" w:space="0" w:color="auto"/>
        <w:right w:val="none" w:sz="0" w:space="0" w:color="auto"/>
      </w:divBdr>
    </w:div>
    <w:div w:id="973095253">
      <w:marLeft w:val="0"/>
      <w:marRight w:val="720"/>
      <w:marTop w:val="10"/>
      <w:marBottom w:val="10"/>
      <w:divBdr>
        <w:top w:val="none" w:sz="0" w:space="0" w:color="auto"/>
        <w:left w:val="none" w:sz="0" w:space="0" w:color="auto"/>
        <w:bottom w:val="none" w:sz="0" w:space="0" w:color="auto"/>
        <w:right w:val="none" w:sz="0" w:space="0" w:color="auto"/>
      </w:divBdr>
    </w:div>
    <w:div w:id="1019967073">
      <w:marLeft w:val="0"/>
      <w:marRight w:val="0"/>
      <w:marTop w:val="10"/>
      <w:marBottom w:val="10"/>
      <w:divBdr>
        <w:top w:val="none" w:sz="0" w:space="0" w:color="auto"/>
        <w:left w:val="none" w:sz="0" w:space="0" w:color="auto"/>
        <w:bottom w:val="none" w:sz="0" w:space="0" w:color="auto"/>
        <w:right w:val="none" w:sz="0" w:space="0" w:color="auto"/>
      </w:divBdr>
    </w:div>
    <w:div w:id="1028482668">
      <w:marLeft w:val="0"/>
      <w:marRight w:val="0"/>
      <w:marTop w:val="10"/>
      <w:marBottom w:val="10"/>
      <w:divBdr>
        <w:top w:val="none" w:sz="0" w:space="0" w:color="auto"/>
        <w:left w:val="none" w:sz="0" w:space="0" w:color="auto"/>
        <w:bottom w:val="none" w:sz="0" w:space="0" w:color="auto"/>
        <w:right w:val="none" w:sz="0" w:space="0" w:color="auto"/>
      </w:divBdr>
    </w:div>
    <w:div w:id="1143497860">
      <w:marLeft w:val="0"/>
      <w:marRight w:val="720"/>
      <w:marTop w:val="10"/>
      <w:marBottom w:val="10"/>
      <w:divBdr>
        <w:top w:val="none" w:sz="0" w:space="0" w:color="auto"/>
        <w:left w:val="none" w:sz="0" w:space="0" w:color="auto"/>
        <w:bottom w:val="none" w:sz="0" w:space="0" w:color="auto"/>
        <w:right w:val="none" w:sz="0" w:space="0" w:color="auto"/>
      </w:divBdr>
    </w:div>
    <w:div w:id="1182475914">
      <w:marLeft w:val="0"/>
      <w:marRight w:val="0"/>
      <w:marTop w:val="10"/>
      <w:marBottom w:val="10"/>
      <w:divBdr>
        <w:top w:val="none" w:sz="0" w:space="0" w:color="auto"/>
        <w:left w:val="none" w:sz="0" w:space="0" w:color="auto"/>
        <w:bottom w:val="none" w:sz="0" w:space="0" w:color="auto"/>
        <w:right w:val="none" w:sz="0" w:space="0" w:color="auto"/>
      </w:divBdr>
    </w:div>
    <w:div w:id="1244872169">
      <w:marLeft w:val="0"/>
      <w:marRight w:val="0"/>
      <w:marTop w:val="10"/>
      <w:marBottom w:val="10"/>
      <w:divBdr>
        <w:top w:val="none" w:sz="0" w:space="0" w:color="auto"/>
        <w:left w:val="none" w:sz="0" w:space="0" w:color="auto"/>
        <w:bottom w:val="none" w:sz="0" w:space="0" w:color="auto"/>
        <w:right w:val="none" w:sz="0" w:space="0" w:color="auto"/>
      </w:divBdr>
    </w:div>
    <w:div w:id="1329557730">
      <w:marLeft w:val="0"/>
      <w:marRight w:val="720"/>
      <w:marTop w:val="10"/>
      <w:marBottom w:val="10"/>
      <w:divBdr>
        <w:top w:val="none" w:sz="0" w:space="0" w:color="auto"/>
        <w:left w:val="none" w:sz="0" w:space="0" w:color="auto"/>
        <w:bottom w:val="none" w:sz="0" w:space="0" w:color="auto"/>
        <w:right w:val="none" w:sz="0" w:space="0" w:color="auto"/>
      </w:divBdr>
    </w:div>
    <w:div w:id="1455832602">
      <w:marLeft w:val="0"/>
      <w:marRight w:val="0"/>
      <w:marTop w:val="10"/>
      <w:marBottom w:val="10"/>
      <w:divBdr>
        <w:top w:val="none" w:sz="0" w:space="0" w:color="auto"/>
        <w:left w:val="none" w:sz="0" w:space="0" w:color="auto"/>
        <w:bottom w:val="none" w:sz="0" w:space="0" w:color="auto"/>
        <w:right w:val="none" w:sz="0" w:space="0" w:color="auto"/>
      </w:divBdr>
    </w:div>
    <w:div w:id="1780027292">
      <w:marLeft w:val="0"/>
      <w:marRight w:val="0"/>
      <w:marTop w:val="10"/>
      <w:marBottom w:val="10"/>
      <w:divBdr>
        <w:top w:val="none" w:sz="0" w:space="0" w:color="auto"/>
        <w:left w:val="none" w:sz="0" w:space="0" w:color="auto"/>
        <w:bottom w:val="none" w:sz="0" w:space="0" w:color="auto"/>
        <w:right w:val="none" w:sz="0" w:space="0" w:color="auto"/>
      </w:divBdr>
    </w:div>
    <w:div w:id="1826318365">
      <w:marLeft w:val="0"/>
      <w:marRight w:val="0"/>
      <w:marTop w:val="10"/>
      <w:marBottom w:val="10"/>
      <w:divBdr>
        <w:top w:val="none" w:sz="0" w:space="0" w:color="auto"/>
        <w:left w:val="none" w:sz="0" w:space="0" w:color="auto"/>
        <w:bottom w:val="none" w:sz="0" w:space="0" w:color="auto"/>
        <w:right w:val="none" w:sz="0" w:space="0" w:color="auto"/>
      </w:divBdr>
    </w:div>
    <w:div w:id="1832988101">
      <w:marLeft w:val="0"/>
      <w:marRight w:val="0"/>
      <w:marTop w:val="10"/>
      <w:marBottom w:val="10"/>
      <w:divBdr>
        <w:top w:val="none" w:sz="0" w:space="0" w:color="auto"/>
        <w:left w:val="none" w:sz="0" w:space="0" w:color="auto"/>
        <w:bottom w:val="none" w:sz="0" w:space="0" w:color="auto"/>
        <w:right w:val="none" w:sz="0" w:space="0" w:color="auto"/>
      </w:divBdr>
    </w:div>
    <w:div w:id="1936668869">
      <w:marLeft w:val="0"/>
      <w:marRight w:val="0"/>
      <w:marTop w:val="10"/>
      <w:marBottom w:val="10"/>
      <w:divBdr>
        <w:top w:val="none" w:sz="0" w:space="0" w:color="auto"/>
        <w:left w:val="none" w:sz="0" w:space="0" w:color="auto"/>
        <w:bottom w:val="none" w:sz="0" w:space="0" w:color="auto"/>
        <w:right w:val="none" w:sz="0" w:space="0" w:color="auto"/>
      </w:divBdr>
    </w:div>
    <w:div w:id="2089492857">
      <w:marLeft w:val="0"/>
      <w:marRight w:val="0"/>
      <w:marTop w:val="10"/>
      <w:marBottom w:val="10"/>
      <w:divBdr>
        <w:top w:val="none" w:sz="0" w:space="0" w:color="auto"/>
        <w:left w:val="none" w:sz="0" w:space="0" w:color="auto"/>
        <w:bottom w:val="none" w:sz="0" w:space="0" w:color="auto"/>
        <w:right w:val="none" w:sz="0" w:space="0" w:color="auto"/>
      </w:divBdr>
    </w:div>
    <w:div w:id="2113892158">
      <w:marLeft w:val="0"/>
      <w:marRight w:val="0"/>
      <w:marTop w:val="10"/>
      <w:marBottom w:val="10"/>
      <w:divBdr>
        <w:top w:val="none" w:sz="0" w:space="0" w:color="auto"/>
        <w:left w:val="none" w:sz="0" w:space="0" w:color="auto"/>
        <w:bottom w:val="none" w:sz="0" w:space="0" w:color="auto"/>
        <w:right w:val="none" w:sz="0" w:space="0" w:color="auto"/>
      </w:divBdr>
    </w:div>
    <w:div w:id="2124883307">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424</Words>
  <Characters>2423</Characters>
  <Application>Microsoft Office Word</Application>
  <DocSecurity>0</DocSecurity>
  <Lines>20</Lines>
  <Paragraphs>5</Paragraphs>
  <ScaleCrop>false</ScaleCrop>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2023-04-10T06:59:00Z</dcterms:created>
  <dcterms:modified xsi:type="dcterms:W3CDTF">2023-04-10T06:59:00Z</dcterms:modified>
</cp:coreProperties>
</file>