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5267C">
      <w:pPr>
        <w:spacing w:line="500" w:lineRule="atLeast"/>
        <w:jc w:val="center"/>
        <w:divId w:val="1159612906"/>
        <w:rPr>
          <w:rFonts w:ascii="黑体" w:eastAsia="黑体" w:hAnsi="黑体"/>
          <w:sz w:val="36"/>
          <w:szCs w:val="36"/>
        </w:rPr>
      </w:pPr>
      <w:bookmarkStart w:id="0" w:name="_GoBack"/>
      <w:bookmarkEnd w:id="0"/>
      <w:r>
        <w:rPr>
          <w:rFonts w:ascii="黑体" w:eastAsia="黑体" w:hAnsi="黑体" w:hint="eastAsia"/>
          <w:sz w:val="36"/>
          <w:szCs w:val="36"/>
        </w:rPr>
        <w:t>湖北省高级人民法院</w:t>
      </w:r>
    </w:p>
    <w:p w:rsidR="00000000" w:rsidRDefault="0095267C">
      <w:pPr>
        <w:spacing w:line="500" w:lineRule="atLeast"/>
        <w:jc w:val="center"/>
        <w:divId w:val="9769097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5267C">
      <w:pPr>
        <w:spacing w:line="500" w:lineRule="atLeast"/>
        <w:jc w:val="right"/>
        <w:divId w:val="1339965040"/>
        <w:rPr>
          <w:rFonts w:hint="eastAsia"/>
          <w:sz w:val="30"/>
          <w:szCs w:val="30"/>
        </w:rPr>
      </w:pPr>
      <w:r>
        <w:rPr>
          <w:rFonts w:hint="eastAsia"/>
          <w:sz w:val="30"/>
          <w:szCs w:val="30"/>
        </w:rPr>
        <w:t>（</w:t>
      </w:r>
      <w:r>
        <w:rPr>
          <w:rFonts w:hint="eastAsia"/>
          <w:sz w:val="30"/>
          <w:szCs w:val="30"/>
        </w:rPr>
        <w:t>2020</w:t>
      </w:r>
      <w:r>
        <w:rPr>
          <w:rFonts w:hint="eastAsia"/>
          <w:sz w:val="30"/>
          <w:szCs w:val="30"/>
        </w:rPr>
        <w:t>）鄂民申</w:t>
      </w:r>
      <w:r>
        <w:rPr>
          <w:rFonts w:hint="eastAsia"/>
          <w:sz w:val="30"/>
          <w:szCs w:val="30"/>
        </w:rPr>
        <w:t>2412</w:t>
      </w:r>
      <w:r>
        <w:rPr>
          <w:rFonts w:hint="eastAsia"/>
          <w:sz w:val="30"/>
          <w:szCs w:val="30"/>
        </w:rPr>
        <w:t>号</w:t>
      </w:r>
    </w:p>
    <w:p w:rsidR="00000000" w:rsidRDefault="0095267C">
      <w:pPr>
        <w:spacing w:line="500" w:lineRule="atLeast"/>
        <w:ind w:firstLine="600"/>
        <w:divId w:val="1498614686"/>
        <w:rPr>
          <w:rFonts w:hint="eastAsia"/>
          <w:sz w:val="30"/>
          <w:szCs w:val="30"/>
        </w:rPr>
      </w:pPr>
      <w:r>
        <w:rPr>
          <w:rFonts w:hint="eastAsia"/>
          <w:sz w:val="30"/>
          <w:szCs w:val="30"/>
        </w:rPr>
        <w:t>再审申请人（一审原告、二审上诉人）：胡进顺，男，</w:t>
      </w:r>
      <w:r>
        <w:rPr>
          <w:rFonts w:hint="eastAsia"/>
          <w:sz w:val="30"/>
          <w:szCs w:val="30"/>
        </w:rPr>
        <w:t>1962</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日出生，汉族，住湖北省武汉市黄陂区。</w:t>
      </w:r>
    </w:p>
    <w:p w:rsidR="00000000" w:rsidRDefault="0095267C">
      <w:pPr>
        <w:spacing w:line="500" w:lineRule="atLeast"/>
        <w:ind w:firstLine="600"/>
        <w:divId w:val="984357111"/>
        <w:rPr>
          <w:rFonts w:hint="eastAsia"/>
          <w:sz w:val="30"/>
          <w:szCs w:val="30"/>
        </w:rPr>
      </w:pPr>
      <w:r>
        <w:rPr>
          <w:rFonts w:hint="eastAsia"/>
          <w:sz w:val="30"/>
          <w:szCs w:val="30"/>
        </w:rPr>
        <w:t>委托诉讼代理人：余佳奇、程从文，湖北忠三律师事务所律师。</w:t>
      </w:r>
    </w:p>
    <w:p w:rsidR="00000000" w:rsidRDefault="0095267C">
      <w:pPr>
        <w:spacing w:line="500" w:lineRule="atLeast"/>
        <w:ind w:firstLine="600"/>
        <w:divId w:val="1317295534"/>
        <w:rPr>
          <w:rFonts w:hint="eastAsia"/>
          <w:sz w:val="30"/>
          <w:szCs w:val="30"/>
        </w:rPr>
      </w:pPr>
      <w:r>
        <w:rPr>
          <w:rFonts w:hint="eastAsia"/>
          <w:sz w:val="30"/>
          <w:szCs w:val="30"/>
        </w:rPr>
        <w:t>被申请人（一审被告、二审被上诉人）：武汉市黄陂区人民医院，住所地：湖北省武汉市黄陂区前川百秀街</w:t>
      </w:r>
      <w:r>
        <w:rPr>
          <w:rFonts w:hint="eastAsia"/>
          <w:sz w:val="30"/>
          <w:szCs w:val="30"/>
        </w:rPr>
        <w:t>259</w:t>
      </w:r>
      <w:r>
        <w:rPr>
          <w:rFonts w:hint="eastAsia"/>
          <w:sz w:val="30"/>
          <w:szCs w:val="30"/>
        </w:rPr>
        <w:t>号。</w:t>
      </w:r>
    </w:p>
    <w:p w:rsidR="00000000" w:rsidRDefault="0095267C">
      <w:pPr>
        <w:spacing w:line="500" w:lineRule="atLeast"/>
        <w:ind w:firstLine="600"/>
        <w:divId w:val="515921292"/>
        <w:rPr>
          <w:rFonts w:hint="eastAsia"/>
          <w:sz w:val="30"/>
          <w:szCs w:val="30"/>
        </w:rPr>
      </w:pPr>
      <w:r>
        <w:rPr>
          <w:rFonts w:hint="eastAsia"/>
          <w:sz w:val="30"/>
          <w:szCs w:val="30"/>
        </w:rPr>
        <w:t>法定代表人：朱绍咏，该医院院长。</w:t>
      </w:r>
    </w:p>
    <w:p w:rsidR="00000000" w:rsidRDefault="0095267C">
      <w:pPr>
        <w:spacing w:line="500" w:lineRule="atLeast"/>
        <w:ind w:firstLine="600"/>
        <w:divId w:val="1996838926"/>
        <w:rPr>
          <w:rFonts w:hint="eastAsia"/>
          <w:sz w:val="30"/>
          <w:szCs w:val="30"/>
        </w:rPr>
      </w:pPr>
      <w:r>
        <w:rPr>
          <w:rFonts w:hint="eastAsia"/>
          <w:sz w:val="30"/>
          <w:szCs w:val="30"/>
        </w:rPr>
        <w:t>再审申请人胡进顺因与被申请人武汉市黄陂区人民医院医疗损害责任纠纷一案，不服湖北省武汉市中级人民法院（</w:t>
      </w:r>
      <w:r>
        <w:rPr>
          <w:rFonts w:hint="eastAsia"/>
          <w:sz w:val="30"/>
          <w:szCs w:val="30"/>
        </w:rPr>
        <w:t>2019</w:t>
      </w:r>
      <w:r>
        <w:rPr>
          <w:rFonts w:hint="eastAsia"/>
          <w:sz w:val="30"/>
          <w:szCs w:val="30"/>
        </w:rPr>
        <w:t>）鄂</w:t>
      </w:r>
      <w:r>
        <w:rPr>
          <w:rFonts w:hint="eastAsia"/>
          <w:sz w:val="30"/>
          <w:szCs w:val="30"/>
        </w:rPr>
        <w:t>01</w:t>
      </w:r>
      <w:r>
        <w:rPr>
          <w:rFonts w:hint="eastAsia"/>
          <w:sz w:val="30"/>
          <w:szCs w:val="30"/>
        </w:rPr>
        <w:t>民终</w:t>
      </w:r>
      <w:r>
        <w:rPr>
          <w:rFonts w:hint="eastAsia"/>
          <w:sz w:val="30"/>
          <w:szCs w:val="30"/>
        </w:rPr>
        <w:t>9094</w:t>
      </w:r>
      <w:r>
        <w:rPr>
          <w:rFonts w:hint="eastAsia"/>
          <w:sz w:val="30"/>
          <w:szCs w:val="30"/>
        </w:rPr>
        <w:t>号民事判决，向本院申请再审。本院依法组成合议庭对本案进行了审查，现已审查终结。</w:t>
      </w:r>
    </w:p>
    <w:p w:rsidR="00000000" w:rsidRDefault="0095267C">
      <w:pPr>
        <w:spacing w:line="500" w:lineRule="atLeast"/>
        <w:ind w:firstLine="600"/>
        <w:divId w:val="1179462855"/>
        <w:rPr>
          <w:rFonts w:hint="eastAsia"/>
          <w:sz w:val="30"/>
          <w:szCs w:val="30"/>
        </w:rPr>
      </w:pPr>
      <w:r>
        <w:rPr>
          <w:rFonts w:hint="eastAsia"/>
          <w:sz w:val="30"/>
          <w:szCs w:val="30"/>
        </w:rPr>
        <w:t>胡进顺申请再审称，（一）原判决认定的基本事实有误，交通事故与医疗事故两者属性不同，在计算医疗事故的损害赔偿时不应减去交通事故中赔偿的金额。如果在本案中，外伤形成的原因不是由于交通事故，而是当事人摔倒或是其他原因前往医院进行治疗，因医院过失导致了因伤未愈、病情加重的事实，医院在此情况下应承担医疗事故过错导</w:t>
      </w:r>
      <w:r>
        <w:rPr>
          <w:rFonts w:hint="eastAsia"/>
          <w:sz w:val="30"/>
          <w:szCs w:val="30"/>
        </w:rPr>
        <w:t>致的全部赔偿责任。对此，无论外伤是交通事故导致的还是其他原因，医院都应对其诊疗行为过错导致的结果负责。（二）原判决认定的基本事实有误。在本案医疗事故中计算的误工费、护理费、营养费中不应减去交通事故中赔偿的误工费、护理费、营养费。本案医疗事故案件中的《湖北中真司法鉴定所法医司法鉴定意见书》的鉴定结论应针对医疗事故伤害，该意见中的“伤后”指的应是遭受医疗事故伤害后的时间，本案中，胡进顺事实上遭</w:t>
      </w:r>
      <w:r>
        <w:rPr>
          <w:rFonts w:hint="eastAsia"/>
          <w:sz w:val="30"/>
          <w:szCs w:val="30"/>
        </w:rPr>
        <w:lastRenderedPageBreak/>
        <w:t>受了两次伤害，一次为交通事故，一次为医疗事故，两者不应同时计算伤后时间，故计算本案医疗事故中的误工费、护理费、营养费不应</w:t>
      </w:r>
      <w:r>
        <w:rPr>
          <w:rFonts w:hint="eastAsia"/>
          <w:sz w:val="30"/>
          <w:szCs w:val="30"/>
        </w:rPr>
        <w:t>减去交通事故中的赔偿费用。（三）原判决适用法律错误。根据国务院《医疗事故处理条例》第五十条的规定，医疗事故赔偿中可以主张残疾生活补助费，一审法院认为胡进顺主张残疾生活补助费的计算请求没有法律依据，系适用法律错误，二审法院对此问题未进行审查。综上，胡进顺依据《中华人民共和国民事诉讼法》第二百条第二项、第六项的规定申请再审。</w:t>
      </w:r>
    </w:p>
    <w:p w:rsidR="00000000" w:rsidRDefault="0095267C">
      <w:pPr>
        <w:spacing w:line="500" w:lineRule="atLeast"/>
        <w:ind w:firstLine="600"/>
        <w:divId w:val="1598441896"/>
        <w:rPr>
          <w:rFonts w:hint="eastAsia"/>
          <w:sz w:val="30"/>
          <w:szCs w:val="30"/>
        </w:rPr>
      </w:pPr>
      <w:r>
        <w:rPr>
          <w:rFonts w:hint="eastAsia"/>
          <w:sz w:val="30"/>
          <w:szCs w:val="30"/>
        </w:rPr>
        <w:t>本院经审查认为，胡进顺的再审申请事由均不能成立，评述如下：</w:t>
      </w:r>
    </w:p>
    <w:p w:rsidR="00000000" w:rsidRDefault="0095267C">
      <w:pPr>
        <w:spacing w:line="500" w:lineRule="atLeast"/>
        <w:ind w:firstLine="600"/>
        <w:divId w:val="1229654551"/>
        <w:rPr>
          <w:rFonts w:hint="eastAsia"/>
          <w:sz w:val="30"/>
          <w:szCs w:val="30"/>
        </w:rPr>
      </w:pPr>
      <w:r>
        <w:rPr>
          <w:rFonts w:hint="eastAsia"/>
          <w:sz w:val="30"/>
          <w:szCs w:val="30"/>
        </w:rPr>
        <w:t>关于胡进顺主张在计算医疗事故的损害赔偿时不应减去交通事故中赔偿的金额。经审查，原审已查明，胡进顺发生交通事故后到武汉市黄陂区人民</w:t>
      </w:r>
      <w:r>
        <w:rPr>
          <w:rFonts w:hint="eastAsia"/>
          <w:sz w:val="30"/>
          <w:szCs w:val="30"/>
        </w:rPr>
        <w:t>医院住院治疗，出院后进行交通事故诉讼，一审法院依委托相关机构作出的伤残十级的鉴定结论作出判决，胡进顺已获得交通事故相应赔偿，此后，胡进顺未再到武汉市黄陂区人民医院住院治疗，其在本案中又被鉴定为伤残程度九级，无证据证明在两次鉴定之间发生过新的侵权行为，故胡进顺的九级伤残实际是前述交通事故、医疗事故两侵权行为继续发展的共同结果。原审法院根据双方当事人诉辩意见，结合本案实际情况对案件事实进行了认定，并在此基础上依法作出判决，理由阐述充分，本院不再赘述。胡进顺现申请再审并未提出新的事实和理由，也未提交新的证据来佐证</w:t>
      </w:r>
      <w:r>
        <w:rPr>
          <w:rFonts w:hint="eastAsia"/>
          <w:sz w:val="30"/>
          <w:szCs w:val="30"/>
        </w:rPr>
        <w:t>自己的主张，本院对其该项主张不予支持。</w:t>
      </w:r>
    </w:p>
    <w:p w:rsidR="00000000" w:rsidRDefault="0095267C">
      <w:pPr>
        <w:spacing w:line="500" w:lineRule="atLeast"/>
        <w:ind w:firstLine="600"/>
        <w:divId w:val="353270017"/>
        <w:rPr>
          <w:rFonts w:hint="eastAsia"/>
          <w:sz w:val="30"/>
          <w:szCs w:val="30"/>
        </w:rPr>
      </w:pPr>
      <w:r>
        <w:rPr>
          <w:rFonts w:hint="eastAsia"/>
          <w:sz w:val="30"/>
          <w:szCs w:val="30"/>
        </w:rPr>
        <w:t>关于胡进顺主张原判决未予支持残疾生活补助费系适用法律错误。经审查，一审判决已核算胡进顺的经济损失包括伤残赔偿金</w:t>
      </w:r>
      <w:r>
        <w:rPr>
          <w:rFonts w:hint="eastAsia"/>
          <w:sz w:val="30"/>
          <w:szCs w:val="30"/>
        </w:rPr>
        <w:t>137820</w:t>
      </w:r>
      <w:r>
        <w:rPr>
          <w:rFonts w:hint="eastAsia"/>
          <w:sz w:val="30"/>
          <w:szCs w:val="30"/>
        </w:rPr>
        <w:t>元（</w:t>
      </w:r>
      <w:r>
        <w:rPr>
          <w:rFonts w:hint="eastAsia"/>
          <w:sz w:val="30"/>
          <w:szCs w:val="30"/>
        </w:rPr>
        <w:t>34455</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20%</w:t>
      </w:r>
      <w:r>
        <w:rPr>
          <w:rFonts w:hint="eastAsia"/>
          <w:sz w:val="30"/>
          <w:szCs w:val="30"/>
        </w:rPr>
        <w:t>），扣除已获得的</w:t>
      </w:r>
      <w:r>
        <w:rPr>
          <w:rFonts w:hint="eastAsia"/>
          <w:sz w:val="30"/>
          <w:szCs w:val="30"/>
        </w:rPr>
        <w:lastRenderedPageBreak/>
        <w:t>伤残赔偿金</w:t>
      </w:r>
      <w:r>
        <w:rPr>
          <w:rFonts w:hint="eastAsia"/>
          <w:sz w:val="30"/>
          <w:szCs w:val="30"/>
        </w:rPr>
        <w:t>58772</w:t>
      </w:r>
      <w:r>
        <w:rPr>
          <w:rFonts w:hint="eastAsia"/>
          <w:sz w:val="30"/>
          <w:szCs w:val="30"/>
        </w:rPr>
        <w:t>元后，支持了胡进顺</w:t>
      </w:r>
      <w:r>
        <w:rPr>
          <w:rFonts w:hint="eastAsia"/>
          <w:sz w:val="30"/>
          <w:szCs w:val="30"/>
        </w:rPr>
        <w:t>79048</w:t>
      </w:r>
      <w:r>
        <w:rPr>
          <w:rFonts w:hint="eastAsia"/>
          <w:sz w:val="30"/>
          <w:szCs w:val="30"/>
        </w:rPr>
        <w:t>元伤残赔偿金。胡进顺上诉的诉请及事由并未明确主张残疾生活补助费。本院认为，《医疗事故处理条例》第五十条所列举的医疗事故赔偿项目共计十一项：医疗费、误工费、住院伙食补助费、陪护费、残疾生活补助费、残疾用具费、丧葬费、被扶养人生活费、交通费、住宿费、精神</w:t>
      </w:r>
      <w:r>
        <w:rPr>
          <w:rFonts w:hint="eastAsia"/>
          <w:sz w:val="30"/>
          <w:szCs w:val="30"/>
        </w:rPr>
        <w:t>损害抚慰金；其中的残疾生活补助费实质性质为伤残赔偿金，一审法院已支持胡进顺伤残赔偿金项目，并不违反《医疗事故处理条例》第五十条的规定，且胡进顺未于上诉诉请及事由中明确主张残疾生活补助费，现申请再审主张二审法院对残疾生活补助费未予审查，该主张无事实与法律依据。故，胡进顺主张原判决未予支持残疾生活补助费系适用法律错误不成立，本院不予支持。</w:t>
      </w:r>
    </w:p>
    <w:p w:rsidR="00000000" w:rsidRDefault="0095267C">
      <w:pPr>
        <w:spacing w:line="500" w:lineRule="atLeast"/>
        <w:ind w:firstLine="600"/>
        <w:divId w:val="1436438430"/>
        <w:rPr>
          <w:rFonts w:hint="eastAsia"/>
          <w:sz w:val="30"/>
          <w:szCs w:val="30"/>
        </w:rPr>
      </w:pPr>
      <w:r>
        <w:rPr>
          <w:rFonts w:hint="eastAsia"/>
          <w:sz w:val="30"/>
          <w:szCs w:val="30"/>
        </w:rPr>
        <w:t>综上，胡进顺的再审申请不符合《中华人民共和国民事诉讼法》第二百条规定的情形。依照《中华人民共和国民事诉讼法》第二百零四条第一款、《最高人民法院关于适用〈中华人民共和国民事诉讼</w:t>
      </w:r>
      <w:r>
        <w:rPr>
          <w:rFonts w:hint="eastAsia"/>
          <w:sz w:val="30"/>
          <w:szCs w:val="30"/>
        </w:rPr>
        <w:t>法〉的解释》第三百九十五条第二款规定，裁定如下：</w:t>
      </w:r>
    </w:p>
    <w:p w:rsidR="00000000" w:rsidRDefault="0095267C">
      <w:pPr>
        <w:spacing w:line="500" w:lineRule="atLeast"/>
        <w:ind w:firstLine="600"/>
        <w:divId w:val="1842887124"/>
        <w:rPr>
          <w:rFonts w:hint="eastAsia"/>
          <w:sz w:val="30"/>
          <w:szCs w:val="30"/>
        </w:rPr>
      </w:pPr>
      <w:r>
        <w:rPr>
          <w:rFonts w:hint="eastAsia"/>
          <w:sz w:val="30"/>
          <w:szCs w:val="30"/>
        </w:rPr>
        <w:t>驳回胡进顺的再审申请。</w:t>
      </w:r>
    </w:p>
    <w:p w:rsidR="00000000" w:rsidRDefault="0095267C">
      <w:pPr>
        <w:spacing w:line="500" w:lineRule="atLeast"/>
        <w:jc w:val="right"/>
        <w:divId w:val="103118042"/>
        <w:rPr>
          <w:rFonts w:hint="eastAsia"/>
          <w:sz w:val="30"/>
          <w:szCs w:val="30"/>
        </w:rPr>
      </w:pPr>
      <w:r>
        <w:rPr>
          <w:rFonts w:hint="eastAsia"/>
          <w:sz w:val="30"/>
          <w:szCs w:val="30"/>
        </w:rPr>
        <w:t>审判长　　龚璟</w:t>
      </w:r>
    </w:p>
    <w:p w:rsidR="00000000" w:rsidRDefault="0095267C">
      <w:pPr>
        <w:spacing w:line="500" w:lineRule="atLeast"/>
        <w:jc w:val="right"/>
        <w:divId w:val="1917012029"/>
        <w:rPr>
          <w:rFonts w:hint="eastAsia"/>
          <w:sz w:val="30"/>
          <w:szCs w:val="30"/>
        </w:rPr>
      </w:pPr>
      <w:r>
        <w:rPr>
          <w:rFonts w:hint="eastAsia"/>
          <w:sz w:val="30"/>
          <w:szCs w:val="30"/>
        </w:rPr>
        <w:t>审判员　　牛卓</w:t>
      </w:r>
    </w:p>
    <w:p w:rsidR="00000000" w:rsidRDefault="0095267C">
      <w:pPr>
        <w:spacing w:line="500" w:lineRule="atLeast"/>
        <w:jc w:val="right"/>
        <w:divId w:val="1611281719"/>
        <w:rPr>
          <w:rFonts w:hint="eastAsia"/>
          <w:sz w:val="30"/>
          <w:szCs w:val="30"/>
        </w:rPr>
      </w:pPr>
      <w:r>
        <w:rPr>
          <w:rFonts w:hint="eastAsia"/>
          <w:sz w:val="30"/>
          <w:szCs w:val="30"/>
        </w:rPr>
        <w:t>审判员　　吴琦</w:t>
      </w:r>
    </w:p>
    <w:p w:rsidR="00000000" w:rsidRDefault="0095267C">
      <w:pPr>
        <w:spacing w:line="500" w:lineRule="atLeast"/>
        <w:jc w:val="right"/>
        <w:divId w:val="698550518"/>
        <w:rPr>
          <w:rFonts w:hint="eastAsia"/>
          <w:sz w:val="30"/>
          <w:szCs w:val="30"/>
        </w:rPr>
      </w:pPr>
      <w:r>
        <w:rPr>
          <w:rFonts w:hint="eastAsia"/>
          <w:sz w:val="30"/>
          <w:szCs w:val="30"/>
        </w:rPr>
        <w:t>二〇二〇年九月二十四日</w:t>
      </w:r>
    </w:p>
    <w:p w:rsidR="00000000" w:rsidRDefault="0095267C">
      <w:pPr>
        <w:spacing w:line="500" w:lineRule="atLeast"/>
        <w:ind w:firstLine="600"/>
        <w:divId w:val="1144934693"/>
        <w:rPr>
          <w:rFonts w:hint="eastAsia"/>
          <w:sz w:val="30"/>
          <w:szCs w:val="30"/>
        </w:rPr>
      </w:pPr>
      <w:r>
        <w:rPr>
          <w:rFonts w:hint="eastAsia"/>
          <w:sz w:val="30"/>
          <w:szCs w:val="30"/>
        </w:rPr>
        <w:t>法官助理杨同军</w:t>
      </w:r>
    </w:p>
    <w:p w:rsidR="00000000" w:rsidRDefault="0095267C">
      <w:pPr>
        <w:spacing w:line="500" w:lineRule="atLeast"/>
        <w:ind w:firstLine="600"/>
        <w:divId w:val="144860520"/>
        <w:rPr>
          <w:rFonts w:hint="eastAsia"/>
          <w:sz w:val="30"/>
          <w:szCs w:val="30"/>
        </w:rPr>
      </w:pPr>
      <w:r>
        <w:rPr>
          <w:rFonts w:hint="eastAsia"/>
          <w:sz w:val="30"/>
          <w:szCs w:val="30"/>
        </w:rPr>
        <w:t>书记员唐斐</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67C" w:rsidRDefault="0095267C" w:rsidP="0095267C">
      <w:r>
        <w:separator/>
      </w:r>
    </w:p>
  </w:endnote>
  <w:endnote w:type="continuationSeparator" w:id="0">
    <w:p w:rsidR="0095267C" w:rsidRDefault="0095267C" w:rsidP="0095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67C" w:rsidRDefault="0095267C" w:rsidP="0095267C">
      <w:r>
        <w:separator/>
      </w:r>
    </w:p>
  </w:footnote>
  <w:footnote w:type="continuationSeparator" w:id="0">
    <w:p w:rsidR="0095267C" w:rsidRDefault="0095267C" w:rsidP="00952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267C"/>
    <w:rsid w:val="0095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526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267C"/>
    <w:rPr>
      <w:rFonts w:ascii="宋体" w:eastAsia="宋体" w:hAnsi="宋体" w:cs="宋体"/>
      <w:sz w:val="18"/>
      <w:szCs w:val="18"/>
    </w:rPr>
  </w:style>
  <w:style w:type="paragraph" w:styleId="a5">
    <w:name w:val="footer"/>
    <w:basedOn w:val="a"/>
    <w:link w:val="a6"/>
    <w:uiPriority w:val="99"/>
    <w:unhideWhenUsed/>
    <w:rsid w:val="0095267C"/>
    <w:pPr>
      <w:tabs>
        <w:tab w:val="center" w:pos="4153"/>
        <w:tab w:val="right" w:pos="8306"/>
      </w:tabs>
      <w:snapToGrid w:val="0"/>
    </w:pPr>
    <w:rPr>
      <w:sz w:val="18"/>
      <w:szCs w:val="18"/>
    </w:rPr>
  </w:style>
  <w:style w:type="character" w:customStyle="1" w:styleId="a6">
    <w:name w:val="页脚 字符"/>
    <w:basedOn w:val="a0"/>
    <w:link w:val="a5"/>
    <w:uiPriority w:val="99"/>
    <w:rsid w:val="0095267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42">
      <w:marLeft w:val="0"/>
      <w:marRight w:val="720"/>
      <w:marTop w:val="10"/>
      <w:marBottom w:val="10"/>
      <w:divBdr>
        <w:top w:val="none" w:sz="0" w:space="0" w:color="auto"/>
        <w:left w:val="none" w:sz="0" w:space="0" w:color="auto"/>
        <w:bottom w:val="none" w:sz="0" w:space="0" w:color="auto"/>
        <w:right w:val="none" w:sz="0" w:space="0" w:color="auto"/>
      </w:divBdr>
    </w:div>
    <w:div w:id="144860520">
      <w:marLeft w:val="0"/>
      <w:marRight w:val="0"/>
      <w:marTop w:val="10"/>
      <w:marBottom w:val="10"/>
      <w:divBdr>
        <w:top w:val="none" w:sz="0" w:space="0" w:color="auto"/>
        <w:left w:val="none" w:sz="0" w:space="0" w:color="auto"/>
        <w:bottom w:val="none" w:sz="0" w:space="0" w:color="auto"/>
        <w:right w:val="none" w:sz="0" w:space="0" w:color="auto"/>
      </w:divBdr>
    </w:div>
    <w:div w:id="353270017">
      <w:marLeft w:val="0"/>
      <w:marRight w:val="0"/>
      <w:marTop w:val="10"/>
      <w:marBottom w:val="10"/>
      <w:divBdr>
        <w:top w:val="none" w:sz="0" w:space="0" w:color="auto"/>
        <w:left w:val="none" w:sz="0" w:space="0" w:color="auto"/>
        <w:bottom w:val="none" w:sz="0" w:space="0" w:color="auto"/>
        <w:right w:val="none" w:sz="0" w:space="0" w:color="auto"/>
      </w:divBdr>
    </w:div>
    <w:div w:id="515921292">
      <w:marLeft w:val="0"/>
      <w:marRight w:val="0"/>
      <w:marTop w:val="10"/>
      <w:marBottom w:val="10"/>
      <w:divBdr>
        <w:top w:val="none" w:sz="0" w:space="0" w:color="auto"/>
        <w:left w:val="none" w:sz="0" w:space="0" w:color="auto"/>
        <w:bottom w:val="none" w:sz="0" w:space="0" w:color="auto"/>
        <w:right w:val="none" w:sz="0" w:space="0" w:color="auto"/>
      </w:divBdr>
    </w:div>
    <w:div w:id="698550518">
      <w:marLeft w:val="0"/>
      <w:marRight w:val="720"/>
      <w:marTop w:val="10"/>
      <w:marBottom w:val="10"/>
      <w:divBdr>
        <w:top w:val="none" w:sz="0" w:space="0" w:color="auto"/>
        <w:left w:val="none" w:sz="0" w:space="0" w:color="auto"/>
        <w:bottom w:val="none" w:sz="0" w:space="0" w:color="auto"/>
        <w:right w:val="none" w:sz="0" w:space="0" w:color="auto"/>
      </w:divBdr>
    </w:div>
    <w:div w:id="976909706">
      <w:marLeft w:val="0"/>
      <w:marRight w:val="0"/>
      <w:marTop w:val="10"/>
      <w:marBottom w:val="10"/>
      <w:divBdr>
        <w:top w:val="none" w:sz="0" w:space="0" w:color="auto"/>
        <w:left w:val="none" w:sz="0" w:space="0" w:color="auto"/>
        <w:bottom w:val="none" w:sz="0" w:space="0" w:color="auto"/>
        <w:right w:val="none" w:sz="0" w:space="0" w:color="auto"/>
      </w:divBdr>
    </w:div>
    <w:div w:id="984357111">
      <w:marLeft w:val="0"/>
      <w:marRight w:val="0"/>
      <w:marTop w:val="10"/>
      <w:marBottom w:val="10"/>
      <w:divBdr>
        <w:top w:val="none" w:sz="0" w:space="0" w:color="auto"/>
        <w:left w:val="none" w:sz="0" w:space="0" w:color="auto"/>
        <w:bottom w:val="none" w:sz="0" w:space="0" w:color="auto"/>
        <w:right w:val="none" w:sz="0" w:space="0" w:color="auto"/>
      </w:divBdr>
    </w:div>
    <w:div w:id="1144934693">
      <w:marLeft w:val="0"/>
      <w:marRight w:val="0"/>
      <w:marTop w:val="10"/>
      <w:marBottom w:val="10"/>
      <w:divBdr>
        <w:top w:val="none" w:sz="0" w:space="0" w:color="auto"/>
        <w:left w:val="none" w:sz="0" w:space="0" w:color="auto"/>
        <w:bottom w:val="none" w:sz="0" w:space="0" w:color="auto"/>
        <w:right w:val="none" w:sz="0" w:space="0" w:color="auto"/>
      </w:divBdr>
    </w:div>
    <w:div w:id="1159612906">
      <w:marLeft w:val="0"/>
      <w:marRight w:val="0"/>
      <w:marTop w:val="10"/>
      <w:marBottom w:val="10"/>
      <w:divBdr>
        <w:top w:val="none" w:sz="0" w:space="0" w:color="auto"/>
        <w:left w:val="none" w:sz="0" w:space="0" w:color="auto"/>
        <w:bottom w:val="none" w:sz="0" w:space="0" w:color="auto"/>
        <w:right w:val="none" w:sz="0" w:space="0" w:color="auto"/>
      </w:divBdr>
    </w:div>
    <w:div w:id="1179462855">
      <w:marLeft w:val="0"/>
      <w:marRight w:val="0"/>
      <w:marTop w:val="10"/>
      <w:marBottom w:val="10"/>
      <w:divBdr>
        <w:top w:val="none" w:sz="0" w:space="0" w:color="auto"/>
        <w:left w:val="none" w:sz="0" w:space="0" w:color="auto"/>
        <w:bottom w:val="none" w:sz="0" w:space="0" w:color="auto"/>
        <w:right w:val="none" w:sz="0" w:space="0" w:color="auto"/>
      </w:divBdr>
    </w:div>
    <w:div w:id="1229654551">
      <w:marLeft w:val="0"/>
      <w:marRight w:val="0"/>
      <w:marTop w:val="10"/>
      <w:marBottom w:val="10"/>
      <w:divBdr>
        <w:top w:val="none" w:sz="0" w:space="0" w:color="auto"/>
        <w:left w:val="none" w:sz="0" w:space="0" w:color="auto"/>
        <w:bottom w:val="none" w:sz="0" w:space="0" w:color="auto"/>
        <w:right w:val="none" w:sz="0" w:space="0" w:color="auto"/>
      </w:divBdr>
    </w:div>
    <w:div w:id="1317295534">
      <w:marLeft w:val="0"/>
      <w:marRight w:val="0"/>
      <w:marTop w:val="10"/>
      <w:marBottom w:val="10"/>
      <w:divBdr>
        <w:top w:val="none" w:sz="0" w:space="0" w:color="auto"/>
        <w:left w:val="none" w:sz="0" w:space="0" w:color="auto"/>
        <w:bottom w:val="none" w:sz="0" w:space="0" w:color="auto"/>
        <w:right w:val="none" w:sz="0" w:space="0" w:color="auto"/>
      </w:divBdr>
    </w:div>
    <w:div w:id="1339965040">
      <w:marLeft w:val="0"/>
      <w:marRight w:val="0"/>
      <w:marTop w:val="10"/>
      <w:marBottom w:val="10"/>
      <w:divBdr>
        <w:top w:val="none" w:sz="0" w:space="0" w:color="auto"/>
        <w:left w:val="none" w:sz="0" w:space="0" w:color="auto"/>
        <w:bottom w:val="none" w:sz="0" w:space="0" w:color="auto"/>
        <w:right w:val="none" w:sz="0" w:space="0" w:color="auto"/>
      </w:divBdr>
    </w:div>
    <w:div w:id="1436438430">
      <w:marLeft w:val="0"/>
      <w:marRight w:val="0"/>
      <w:marTop w:val="10"/>
      <w:marBottom w:val="10"/>
      <w:divBdr>
        <w:top w:val="none" w:sz="0" w:space="0" w:color="auto"/>
        <w:left w:val="none" w:sz="0" w:space="0" w:color="auto"/>
        <w:bottom w:val="none" w:sz="0" w:space="0" w:color="auto"/>
        <w:right w:val="none" w:sz="0" w:space="0" w:color="auto"/>
      </w:divBdr>
    </w:div>
    <w:div w:id="1498614686">
      <w:marLeft w:val="0"/>
      <w:marRight w:val="0"/>
      <w:marTop w:val="10"/>
      <w:marBottom w:val="10"/>
      <w:divBdr>
        <w:top w:val="none" w:sz="0" w:space="0" w:color="auto"/>
        <w:left w:val="none" w:sz="0" w:space="0" w:color="auto"/>
        <w:bottom w:val="none" w:sz="0" w:space="0" w:color="auto"/>
        <w:right w:val="none" w:sz="0" w:space="0" w:color="auto"/>
      </w:divBdr>
    </w:div>
    <w:div w:id="1598441896">
      <w:marLeft w:val="0"/>
      <w:marRight w:val="0"/>
      <w:marTop w:val="10"/>
      <w:marBottom w:val="10"/>
      <w:divBdr>
        <w:top w:val="none" w:sz="0" w:space="0" w:color="auto"/>
        <w:left w:val="none" w:sz="0" w:space="0" w:color="auto"/>
        <w:bottom w:val="none" w:sz="0" w:space="0" w:color="auto"/>
        <w:right w:val="none" w:sz="0" w:space="0" w:color="auto"/>
      </w:divBdr>
    </w:div>
    <w:div w:id="1611281719">
      <w:marLeft w:val="0"/>
      <w:marRight w:val="720"/>
      <w:marTop w:val="10"/>
      <w:marBottom w:val="10"/>
      <w:divBdr>
        <w:top w:val="none" w:sz="0" w:space="0" w:color="auto"/>
        <w:left w:val="none" w:sz="0" w:space="0" w:color="auto"/>
        <w:bottom w:val="none" w:sz="0" w:space="0" w:color="auto"/>
        <w:right w:val="none" w:sz="0" w:space="0" w:color="auto"/>
      </w:divBdr>
    </w:div>
    <w:div w:id="1842887124">
      <w:marLeft w:val="0"/>
      <w:marRight w:val="0"/>
      <w:marTop w:val="10"/>
      <w:marBottom w:val="10"/>
      <w:divBdr>
        <w:top w:val="none" w:sz="0" w:space="0" w:color="auto"/>
        <w:left w:val="none" w:sz="0" w:space="0" w:color="auto"/>
        <w:bottom w:val="none" w:sz="0" w:space="0" w:color="auto"/>
        <w:right w:val="none" w:sz="0" w:space="0" w:color="auto"/>
      </w:divBdr>
    </w:div>
    <w:div w:id="1917012029">
      <w:marLeft w:val="0"/>
      <w:marRight w:val="720"/>
      <w:marTop w:val="10"/>
      <w:marBottom w:val="10"/>
      <w:divBdr>
        <w:top w:val="none" w:sz="0" w:space="0" w:color="auto"/>
        <w:left w:val="none" w:sz="0" w:space="0" w:color="auto"/>
        <w:bottom w:val="none" w:sz="0" w:space="0" w:color="auto"/>
        <w:right w:val="none" w:sz="0" w:space="0" w:color="auto"/>
      </w:divBdr>
    </w:div>
    <w:div w:id="19968389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