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E409F">
      <w:pPr>
        <w:spacing w:line="500" w:lineRule="atLeast"/>
        <w:jc w:val="center"/>
        <w:divId w:val="1004286775"/>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1E409F">
      <w:pPr>
        <w:spacing w:line="500" w:lineRule="atLeast"/>
        <w:jc w:val="center"/>
        <w:divId w:val="1553541427"/>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E409F">
      <w:pPr>
        <w:spacing w:line="500" w:lineRule="atLeast"/>
        <w:jc w:val="right"/>
        <w:divId w:val="306520380"/>
        <w:rPr>
          <w:rFonts w:hint="eastAsia"/>
          <w:sz w:val="30"/>
          <w:szCs w:val="30"/>
        </w:rPr>
      </w:pPr>
      <w:r>
        <w:rPr>
          <w:rFonts w:hint="eastAsia"/>
          <w:sz w:val="30"/>
          <w:szCs w:val="30"/>
        </w:rPr>
        <w:t>（</w:t>
      </w:r>
      <w:r>
        <w:rPr>
          <w:rFonts w:hint="eastAsia"/>
          <w:sz w:val="30"/>
          <w:szCs w:val="30"/>
        </w:rPr>
        <w:t>2019</w:t>
      </w:r>
      <w:r>
        <w:rPr>
          <w:rFonts w:hint="eastAsia"/>
          <w:sz w:val="30"/>
          <w:szCs w:val="30"/>
        </w:rPr>
        <w:t>）辽行申</w:t>
      </w:r>
      <w:r>
        <w:rPr>
          <w:rFonts w:hint="eastAsia"/>
          <w:sz w:val="30"/>
          <w:szCs w:val="30"/>
        </w:rPr>
        <w:t>166</w:t>
      </w:r>
      <w:r>
        <w:rPr>
          <w:rFonts w:hint="eastAsia"/>
          <w:sz w:val="30"/>
          <w:szCs w:val="30"/>
        </w:rPr>
        <w:t>号</w:t>
      </w:r>
    </w:p>
    <w:p w:rsidR="00000000" w:rsidRDefault="001E409F">
      <w:pPr>
        <w:spacing w:line="500" w:lineRule="atLeast"/>
        <w:ind w:firstLine="600"/>
        <w:divId w:val="82075397"/>
        <w:rPr>
          <w:rFonts w:hint="eastAsia"/>
          <w:sz w:val="30"/>
          <w:szCs w:val="30"/>
        </w:rPr>
      </w:pPr>
      <w:r>
        <w:rPr>
          <w:rFonts w:hint="eastAsia"/>
          <w:sz w:val="30"/>
          <w:szCs w:val="30"/>
        </w:rPr>
        <w:t>再审申请人（一审原告、二审上诉人）：董</w:t>
      </w:r>
      <w:r>
        <w:rPr>
          <w:rFonts w:hint="eastAsia"/>
          <w:sz w:val="30"/>
          <w:szCs w:val="30"/>
        </w:rPr>
        <w:t>**</w:t>
      </w:r>
      <w:r>
        <w:rPr>
          <w:rFonts w:hint="eastAsia"/>
          <w:sz w:val="30"/>
          <w:szCs w:val="30"/>
        </w:rPr>
        <w:t>，女，</w:t>
      </w:r>
      <w:r>
        <w:rPr>
          <w:rFonts w:hint="eastAsia"/>
          <w:sz w:val="30"/>
          <w:szCs w:val="30"/>
        </w:rPr>
        <w:t>1955</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日出生，汉族，住辽宁省沈阳市和平区。</w:t>
      </w:r>
    </w:p>
    <w:p w:rsidR="00000000" w:rsidRDefault="001E409F">
      <w:pPr>
        <w:spacing w:line="500" w:lineRule="atLeast"/>
        <w:ind w:firstLine="600"/>
        <w:divId w:val="1647202219"/>
        <w:rPr>
          <w:rFonts w:hint="eastAsia"/>
          <w:sz w:val="30"/>
          <w:szCs w:val="30"/>
        </w:rPr>
      </w:pPr>
      <w:r>
        <w:rPr>
          <w:rFonts w:hint="eastAsia"/>
          <w:sz w:val="30"/>
          <w:szCs w:val="30"/>
        </w:rPr>
        <w:t>被申请人（一审被告、二审被上诉人）：沈阳市卫生和计划生育委员会。住所地：辽宁省沈阳市和平区北七马路</w:t>
      </w:r>
      <w:r>
        <w:rPr>
          <w:rFonts w:hint="eastAsia"/>
          <w:sz w:val="30"/>
          <w:szCs w:val="30"/>
        </w:rPr>
        <w:t>13</w:t>
      </w:r>
      <w:r>
        <w:rPr>
          <w:rFonts w:hint="eastAsia"/>
          <w:sz w:val="30"/>
          <w:szCs w:val="30"/>
        </w:rPr>
        <w:t>号。</w:t>
      </w:r>
    </w:p>
    <w:p w:rsidR="00000000" w:rsidRDefault="001E409F">
      <w:pPr>
        <w:spacing w:line="500" w:lineRule="atLeast"/>
        <w:ind w:firstLine="600"/>
        <w:divId w:val="1889338038"/>
        <w:rPr>
          <w:rFonts w:hint="eastAsia"/>
          <w:sz w:val="30"/>
          <w:szCs w:val="30"/>
        </w:rPr>
      </w:pPr>
      <w:r>
        <w:rPr>
          <w:rFonts w:hint="eastAsia"/>
          <w:sz w:val="30"/>
          <w:szCs w:val="30"/>
        </w:rPr>
        <w:t>法定代表人：苏立明，该委员会主任。</w:t>
      </w:r>
    </w:p>
    <w:p w:rsidR="00000000" w:rsidRDefault="001E409F">
      <w:pPr>
        <w:spacing w:line="500" w:lineRule="atLeast"/>
        <w:ind w:firstLine="600"/>
        <w:divId w:val="329068533"/>
        <w:rPr>
          <w:rFonts w:hint="eastAsia"/>
          <w:sz w:val="30"/>
          <w:szCs w:val="30"/>
        </w:rPr>
      </w:pPr>
      <w:r>
        <w:rPr>
          <w:rFonts w:hint="eastAsia"/>
          <w:sz w:val="30"/>
          <w:szCs w:val="30"/>
        </w:rPr>
        <w:t>再审申请人董</w:t>
      </w:r>
      <w:r>
        <w:rPr>
          <w:rFonts w:hint="eastAsia"/>
          <w:sz w:val="30"/>
          <w:szCs w:val="30"/>
        </w:rPr>
        <w:t>**</w:t>
      </w:r>
      <w:r>
        <w:rPr>
          <w:rFonts w:hint="eastAsia"/>
          <w:sz w:val="30"/>
          <w:szCs w:val="30"/>
        </w:rPr>
        <w:t>因与被申请人沈阳市卫生和计划生育委员会不履行行政调查处理职责一案，不服辽宁省沈阳市中级人民法院（</w:t>
      </w:r>
      <w:r>
        <w:rPr>
          <w:rFonts w:hint="eastAsia"/>
          <w:sz w:val="30"/>
          <w:szCs w:val="30"/>
        </w:rPr>
        <w:t>2019</w:t>
      </w:r>
      <w:r>
        <w:rPr>
          <w:rFonts w:hint="eastAsia"/>
          <w:sz w:val="30"/>
          <w:szCs w:val="30"/>
        </w:rPr>
        <w:t>）辽</w:t>
      </w:r>
      <w:r>
        <w:rPr>
          <w:rFonts w:hint="eastAsia"/>
          <w:sz w:val="30"/>
          <w:szCs w:val="30"/>
        </w:rPr>
        <w:t>01</w:t>
      </w:r>
      <w:r>
        <w:rPr>
          <w:rFonts w:hint="eastAsia"/>
          <w:sz w:val="30"/>
          <w:szCs w:val="30"/>
        </w:rPr>
        <w:t>行终</w:t>
      </w:r>
      <w:r>
        <w:rPr>
          <w:rFonts w:hint="eastAsia"/>
          <w:sz w:val="30"/>
          <w:szCs w:val="30"/>
        </w:rPr>
        <w:t>194</w:t>
      </w:r>
      <w:r>
        <w:rPr>
          <w:rFonts w:hint="eastAsia"/>
          <w:sz w:val="30"/>
          <w:szCs w:val="30"/>
        </w:rPr>
        <w:t>号行政裁定，向本院申请再审。本院依法组成合议庭对本案进行了审查，现已审查终结。</w:t>
      </w:r>
    </w:p>
    <w:p w:rsidR="00000000" w:rsidRDefault="001E409F">
      <w:pPr>
        <w:spacing w:line="500" w:lineRule="atLeast"/>
        <w:ind w:firstLine="600"/>
        <w:divId w:val="1495221425"/>
        <w:rPr>
          <w:rFonts w:hint="eastAsia"/>
          <w:sz w:val="30"/>
          <w:szCs w:val="30"/>
        </w:rPr>
      </w:pPr>
      <w:r>
        <w:rPr>
          <w:rFonts w:hint="eastAsia"/>
          <w:sz w:val="30"/>
          <w:szCs w:val="30"/>
        </w:rPr>
        <w:t>董</w:t>
      </w:r>
      <w:r>
        <w:rPr>
          <w:rFonts w:hint="eastAsia"/>
          <w:sz w:val="30"/>
          <w:szCs w:val="30"/>
        </w:rPr>
        <w:t>**</w:t>
      </w:r>
      <w:r>
        <w:rPr>
          <w:rFonts w:hint="eastAsia"/>
          <w:sz w:val="30"/>
          <w:szCs w:val="30"/>
        </w:rPr>
        <w:t>申请再审称：</w:t>
      </w:r>
      <w:r>
        <w:rPr>
          <w:rFonts w:hint="eastAsia"/>
          <w:sz w:val="30"/>
          <w:szCs w:val="30"/>
        </w:rPr>
        <w:t>1</w:t>
      </w:r>
      <w:r>
        <w:rPr>
          <w:rFonts w:hint="eastAsia"/>
          <w:sz w:val="30"/>
          <w:szCs w:val="30"/>
        </w:rPr>
        <w:t>、二审裁定编造代理人，强行剥夺弱势群体合法诉权，依法无效。</w:t>
      </w:r>
      <w:r>
        <w:rPr>
          <w:rFonts w:hint="eastAsia"/>
          <w:sz w:val="30"/>
          <w:szCs w:val="30"/>
        </w:rPr>
        <w:t>2</w:t>
      </w:r>
      <w:r>
        <w:rPr>
          <w:rFonts w:hint="eastAsia"/>
          <w:sz w:val="30"/>
          <w:szCs w:val="30"/>
        </w:rPr>
        <w:t>、一审明显事实不清，适用法律错误，二审法院不应当审查不出来。再审申请人依据相关法律规定申请再审，望准予。</w:t>
      </w:r>
    </w:p>
    <w:p w:rsidR="00000000" w:rsidRDefault="001E409F">
      <w:pPr>
        <w:spacing w:line="500" w:lineRule="atLeast"/>
        <w:ind w:firstLine="600"/>
        <w:divId w:val="1767770769"/>
        <w:rPr>
          <w:rFonts w:hint="eastAsia"/>
          <w:sz w:val="30"/>
          <w:szCs w:val="30"/>
        </w:rPr>
      </w:pPr>
      <w:r>
        <w:rPr>
          <w:rFonts w:hint="eastAsia"/>
          <w:sz w:val="30"/>
          <w:szCs w:val="30"/>
        </w:rPr>
        <w:t>本院认为，《医疗事故处理条例》、《医疗事故技术鉴定暂行办法》已经明确对首次医疗鉴定结论不服的，当事人应当以申</w:t>
      </w:r>
      <w:r>
        <w:rPr>
          <w:rFonts w:hint="eastAsia"/>
          <w:sz w:val="30"/>
          <w:szCs w:val="30"/>
        </w:rPr>
        <w:t>请再次鉴定的方式寻求救济，法律法规并未赋予卫生行政部门直接撤销医疗事故技术鉴定书的行政职权。原审法院据此驳回再审申请人的起诉并无不当。</w:t>
      </w:r>
    </w:p>
    <w:p w:rsidR="00000000" w:rsidRDefault="001E409F">
      <w:pPr>
        <w:spacing w:line="500" w:lineRule="atLeast"/>
        <w:ind w:firstLine="600"/>
        <w:divId w:val="1449934510"/>
        <w:rPr>
          <w:rFonts w:hint="eastAsia"/>
          <w:sz w:val="30"/>
          <w:szCs w:val="30"/>
        </w:rPr>
      </w:pPr>
      <w:r>
        <w:rPr>
          <w:rFonts w:hint="eastAsia"/>
          <w:sz w:val="30"/>
          <w:szCs w:val="30"/>
        </w:rPr>
        <w:t>综上，董</w:t>
      </w:r>
      <w:r>
        <w:rPr>
          <w:rFonts w:hint="eastAsia"/>
          <w:sz w:val="30"/>
          <w:szCs w:val="30"/>
        </w:rPr>
        <w:t>**</w:t>
      </w:r>
      <w:r>
        <w:rPr>
          <w:rFonts w:hint="eastAsia"/>
          <w:sz w:val="30"/>
          <w:szCs w:val="30"/>
        </w:rPr>
        <w:t>的再审申请不符合《中华人民共和国行政诉讼法》第九十一条规定的情形。依照《最高人民法院关于适用〈中华人民共和国行政诉讼法〉的解释》第一百一十六条第二款的规定，裁定如下：</w:t>
      </w:r>
    </w:p>
    <w:p w:rsidR="00000000" w:rsidRDefault="001E409F">
      <w:pPr>
        <w:spacing w:line="500" w:lineRule="atLeast"/>
        <w:ind w:firstLine="600"/>
        <w:divId w:val="636566948"/>
        <w:rPr>
          <w:rFonts w:hint="eastAsia"/>
          <w:sz w:val="30"/>
          <w:szCs w:val="30"/>
        </w:rPr>
      </w:pPr>
      <w:r>
        <w:rPr>
          <w:rFonts w:hint="eastAsia"/>
          <w:sz w:val="30"/>
          <w:szCs w:val="30"/>
        </w:rPr>
        <w:t>驳回董</w:t>
      </w:r>
      <w:r>
        <w:rPr>
          <w:rFonts w:hint="eastAsia"/>
          <w:sz w:val="30"/>
          <w:szCs w:val="30"/>
        </w:rPr>
        <w:t>**</w:t>
      </w:r>
      <w:r>
        <w:rPr>
          <w:rFonts w:hint="eastAsia"/>
          <w:sz w:val="30"/>
          <w:szCs w:val="30"/>
        </w:rPr>
        <w:t>的再审申请。</w:t>
      </w:r>
    </w:p>
    <w:p w:rsidR="00000000" w:rsidRDefault="001E409F">
      <w:pPr>
        <w:spacing w:line="500" w:lineRule="atLeast"/>
        <w:jc w:val="right"/>
        <w:divId w:val="1203135659"/>
        <w:rPr>
          <w:rFonts w:hint="eastAsia"/>
          <w:sz w:val="30"/>
          <w:szCs w:val="30"/>
        </w:rPr>
      </w:pPr>
      <w:r>
        <w:rPr>
          <w:rFonts w:hint="eastAsia"/>
          <w:sz w:val="30"/>
          <w:szCs w:val="30"/>
        </w:rPr>
        <w:t>审判长　　王华迪</w:t>
      </w:r>
    </w:p>
    <w:p w:rsidR="00000000" w:rsidRDefault="001E409F">
      <w:pPr>
        <w:spacing w:line="500" w:lineRule="atLeast"/>
        <w:jc w:val="right"/>
        <w:divId w:val="657851252"/>
        <w:rPr>
          <w:rFonts w:hint="eastAsia"/>
          <w:sz w:val="30"/>
          <w:szCs w:val="30"/>
        </w:rPr>
      </w:pPr>
      <w:r>
        <w:rPr>
          <w:rFonts w:hint="eastAsia"/>
          <w:sz w:val="30"/>
          <w:szCs w:val="30"/>
        </w:rPr>
        <w:lastRenderedPageBreak/>
        <w:t>审判员　　武　江</w:t>
      </w:r>
    </w:p>
    <w:p w:rsidR="00000000" w:rsidRDefault="001E409F">
      <w:pPr>
        <w:spacing w:line="500" w:lineRule="atLeast"/>
        <w:jc w:val="right"/>
        <w:divId w:val="346911674"/>
        <w:rPr>
          <w:rFonts w:hint="eastAsia"/>
          <w:sz w:val="30"/>
          <w:szCs w:val="30"/>
        </w:rPr>
      </w:pPr>
      <w:r>
        <w:rPr>
          <w:rFonts w:hint="eastAsia"/>
          <w:sz w:val="30"/>
          <w:szCs w:val="30"/>
        </w:rPr>
        <w:t>审判员　　徐桂伶</w:t>
      </w:r>
    </w:p>
    <w:p w:rsidR="00000000" w:rsidRDefault="001E409F">
      <w:pPr>
        <w:spacing w:line="500" w:lineRule="atLeast"/>
        <w:jc w:val="right"/>
        <w:divId w:val="1372806106"/>
        <w:rPr>
          <w:rFonts w:hint="eastAsia"/>
          <w:sz w:val="30"/>
          <w:szCs w:val="30"/>
        </w:rPr>
      </w:pPr>
      <w:r>
        <w:rPr>
          <w:rFonts w:hint="eastAsia"/>
          <w:sz w:val="30"/>
          <w:szCs w:val="30"/>
        </w:rPr>
        <w:t>二〇一九年十一月二十五日</w:t>
      </w:r>
    </w:p>
    <w:p w:rsidR="00000000" w:rsidRDefault="001E409F">
      <w:pPr>
        <w:spacing w:line="500" w:lineRule="atLeast"/>
        <w:ind w:firstLine="600"/>
        <w:divId w:val="1538348044"/>
        <w:rPr>
          <w:rFonts w:hint="eastAsia"/>
          <w:sz w:val="30"/>
          <w:szCs w:val="30"/>
        </w:rPr>
      </w:pPr>
      <w:r>
        <w:rPr>
          <w:rFonts w:hint="eastAsia"/>
          <w:sz w:val="30"/>
          <w:szCs w:val="30"/>
        </w:rPr>
        <w:t>法官助理陈曦</w:t>
      </w:r>
    </w:p>
    <w:p w:rsidR="00000000" w:rsidRDefault="001E409F">
      <w:pPr>
        <w:spacing w:line="500" w:lineRule="atLeast"/>
        <w:ind w:firstLine="600"/>
        <w:divId w:val="1956208297"/>
        <w:rPr>
          <w:rFonts w:hint="eastAsia"/>
          <w:sz w:val="30"/>
          <w:szCs w:val="30"/>
        </w:rPr>
      </w:pPr>
      <w:r>
        <w:rPr>
          <w:rFonts w:hint="eastAsia"/>
          <w:sz w:val="30"/>
          <w:szCs w:val="30"/>
        </w:rPr>
        <w:t>书记员栾晶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09F" w:rsidRDefault="001E409F" w:rsidP="001E409F">
      <w:r>
        <w:separator/>
      </w:r>
    </w:p>
  </w:endnote>
  <w:endnote w:type="continuationSeparator" w:id="0">
    <w:p w:rsidR="001E409F" w:rsidRDefault="001E409F" w:rsidP="001E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09F" w:rsidRDefault="001E409F" w:rsidP="001E409F">
      <w:r>
        <w:separator/>
      </w:r>
    </w:p>
  </w:footnote>
  <w:footnote w:type="continuationSeparator" w:id="0">
    <w:p w:rsidR="001E409F" w:rsidRDefault="001E409F" w:rsidP="001E40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409F"/>
    <w:rsid w:val="001E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E4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409F"/>
    <w:rPr>
      <w:rFonts w:ascii="宋体" w:eastAsia="宋体" w:hAnsi="宋体" w:cs="宋体"/>
      <w:sz w:val="18"/>
      <w:szCs w:val="18"/>
    </w:rPr>
  </w:style>
  <w:style w:type="paragraph" w:styleId="a5">
    <w:name w:val="footer"/>
    <w:basedOn w:val="a"/>
    <w:link w:val="a6"/>
    <w:uiPriority w:val="99"/>
    <w:unhideWhenUsed/>
    <w:rsid w:val="001E409F"/>
    <w:pPr>
      <w:tabs>
        <w:tab w:val="center" w:pos="4153"/>
        <w:tab w:val="right" w:pos="8306"/>
      </w:tabs>
      <w:snapToGrid w:val="0"/>
    </w:pPr>
    <w:rPr>
      <w:sz w:val="18"/>
      <w:szCs w:val="18"/>
    </w:rPr>
  </w:style>
  <w:style w:type="character" w:customStyle="1" w:styleId="a6">
    <w:name w:val="页脚 字符"/>
    <w:basedOn w:val="a0"/>
    <w:link w:val="a5"/>
    <w:uiPriority w:val="99"/>
    <w:rsid w:val="001E409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5397">
      <w:marLeft w:val="0"/>
      <w:marRight w:val="0"/>
      <w:marTop w:val="10"/>
      <w:marBottom w:val="10"/>
      <w:divBdr>
        <w:top w:val="none" w:sz="0" w:space="0" w:color="auto"/>
        <w:left w:val="none" w:sz="0" w:space="0" w:color="auto"/>
        <w:bottom w:val="none" w:sz="0" w:space="0" w:color="auto"/>
        <w:right w:val="none" w:sz="0" w:space="0" w:color="auto"/>
      </w:divBdr>
    </w:div>
    <w:div w:id="306520380">
      <w:marLeft w:val="0"/>
      <w:marRight w:val="0"/>
      <w:marTop w:val="10"/>
      <w:marBottom w:val="10"/>
      <w:divBdr>
        <w:top w:val="none" w:sz="0" w:space="0" w:color="auto"/>
        <w:left w:val="none" w:sz="0" w:space="0" w:color="auto"/>
        <w:bottom w:val="none" w:sz="0" w:space="0" w:color="auto"/>
        <w:right w:val="none" w:sz="0" w:space="0" w:color="auto"/>
      </w:divBdr>
    </w:div>
    <w:div w:id="329068533">
      <w:marLeft w:val="0"/>
      <w:marRight w:val="0"/>
      <w:marTop w:val="10"/>
      <w:marBottom w:val="10"/>
      <w:divBdr>
        <w:top w:val="none" w:sz="0" w:space="0" w:color="auto"/>
        <w:left w:val="none" w:sz="0" w:space="0" w:color="auto"/>
        <w:bottom w:val="none" w:sz="0" w:space="0" w:color="auto"/>
        <w:right w:val="none" w:sz="0" w:space="0" w:color="auto"/>
      </w:divBdr>
    </w:div>
    <w:div w:id="346911674">
      <w:marLeft w:val="0"/>
      <w:marRight w:val="720"/>
      <w:marTop w:val="10"/>
      <w:marBottom w:val="10"/>
      <w:divBdr>
        <w:top w:val="none" w:sz="0" w:space="0" w:color="auto"/>
        <w:left w:val="none" w:sz="0" w:space="0" w:color="auto"/>
        <w:bottom w:val="none" w:sz="0" w:space="0" w:color="auto"/>
        <w:right w:val="none" w:sz="0" w:space="0" w:color="auto"/>
      </w:divBdr>
    </w:div>
    <w:div w:id="636566948">
      <w:marLeft w:val="0"/>
      <w:marRight w:val="0"/>
      <w:marTop w:val="10"/>
      <w:marBottom w:val="10"/>
      <w:divBdr>
        <w:top w:val="none" w:sz="0" w:space="0" w:color="auto"/>
        <w:left w:val="none" w:sz="0" w:space="0" w:color="auto"/>
        <w:bottom w:val="none" w:sz="0" w:space="0" w:color="auto"/>
        <w:right w:val="none" w:sz="0" w:space="0" w:color="auto"/>
      </w:divBdr>
    </w:div>
    <w:div w:id="657851252">
      <w:marLeft w:val="0"/>
      <w:marRight w:val="720"/>
      <w:marTop w:val="10"/>
      <w:marBottom w:val="10"/>
      <w:divBdr>
        <w:top w:val="none" w:sz="0" w:space="0" w:color="auto"/>
        <w:left w:val="none" w:sz="0" w:space="0" w:color="auto"/>
        <w:bottom w:val="none" w:sz="0" w:space="0" w:color="auto"/>
        <w:right w:val="none" w:sz="0" w:space="0" w:color="auto"/>
      </w:divBdr>
    </w:div>
    <w:div w:id="1004286775">
      <w:marLeft w:val="0"/>
      <w:marRight w:val="0"/>
      <w:marTop w:val="10"/>
      <w:marBottom w:val="10"/>
      <w:divBdr>
        <w:top w:val="none" w:sz="0" w:space="0" w:color="auto"/>
        <w:left w:val="none" w:sz="0" w:space="0" w:color="auto"/>
        <w:bottom w:val="none" w:sz="0" w:space="0" w:color="auto"/>
        <w:right w:val="none" w:sz="0" w:space="0" w:color="auto"/>
      </w:divBdr>
    </w:div>
    <w:div w:id="1203135659">
      <w:marLeft w:val="0"/>
      <w:marRight w:val="720"/>
      <w:marTop w:val="10"/>
      <w:marBottom w:val="10"/>
      <w:divBdr>
        <w:top w:val="none" w:sz="0" w:space="0" w:color="auto"/>
        <w:left w:val="none" w:sz="0" w:space="0" w:color="auto"/>
        <w:bottom w:val="none" w:sz="0" w:space="0" w:color="auto"/>
        <w:right w:val="none" w:sz="0" w:space="0" w:color="auto"/>
      </w:divBdr>
    </w:div>
    <w:div w:id="1372806106">
      <w:marLeft w:val="0"/>
      <w:marRight w:val="720"/>
      <w:marTop w:val="10"/>
      <w:marBottom w:val="10"/>
      <w:divBdr>
        <w:top w:val="none" w:sz="0" w:space="0" w:color="auto"/>
        <w:left w:val="none" w:sz="0" w:space="0" w:color="auto"/>
        <w:bottom w:val="none" w:sz="0" w:space="0" w:color="auto"/>
        <w:right w:val="none" w:sz="0" w:space="0" w:color="auto"/>
      </w:divBdr>
    </w:div>
    <w:div w:id="1449934510">
      <w:marLeft w:val="0"/>
      <w:marRight w:val="0"/>
      <w:marTop w:val="10"/>
      <w:marBottom w:val="10"/>
      <w:divBdr>
        <w:top w:val="none" w:sz="0" w:space="0" w:color="auto"/>
        <w:left w:val="none" w:sz="0" w:space="0" w:color="auto"/>
        <w:bottom w:val="none" w:sz="0" w:space="0" w:color="auto"/>
        <w:right w:val="none" w:sz="0" w:space="0" w:color="auto"/>
      </w:divBdr>
    </w:div>
    <w:div w:id="1495221425">
      <w:marLeft w:val="0"/>
      <w:marRight w:val="0"/>
      <w:marTop w:val="10"/>
      <w:marBottom w:val="10"/>
      <w:divBdr>
        <w:top w:val="none" w:sz="0" w:space="0" w:color="auto"/>
        <w:left w:val="none" w:sz="0" w:space="0" w:color="auto"/>
        <w:bottom w:val="none" w:sz="0" w:space="0" w:color="auto"/>
        <w:right w:val="none" w:sz="0" w:space="0" w:color="auto"/>
      </w:divBdr>
    </w:div>
    <w:div w:id="1538348044">
      <w:marLeft w:val="0"/>
      <w:marRight w:val="0"/>
      <w:marTop w:val="10"/>
      <w:marBottom w:val="10"/>
      <w:divBdr>
        <w:top w:val="none" w:sz="0" w:space="0" w:color="auto"/>
        <w:left w:val="none" w:sz="0" w:space="0" w:color="auto"/>
        <w:bottom w:val="none" w:sz="0" w:space="0" w:color="auto"/>
        <w:right w:val="none" w:sz="0" w:space="0" w:color="auto"/>
      </w:divBdr>
    </w:div>
    <w:div w:id="1553541427">
      <w:marLeft w:val="0"/>
      <w:marRight w:val="0"/>
      <w:marTop w:val="10"/>
      <w:marBottom w:val="10"/>
      <w:divBdr>
        <w:top w:val="none" w:sz="0" w:space="0" w:color="auto"/>
        <w:left w:val="none" w:sz="0" w:space="0" w:color="auto"/>
        <w:bottom w:val="none" w:sz="0" w:space="0" w:color="auto"/>
        <w:right w:val="none" w:sz="0" w:space="0" w:color="auto"/>
      </w:divBdr>
    </w:div>
    <w:div w:id="1647202219">
      <w:marLeft w:val="0"/>
      <w:marRight w:val="0"/>
      <w:marTop w:val="10"/>
      <w:marBottom w:val="10"/>
      <w:divBdr>
        <w:top w:val="none" w:sz="0" w:space="0" w:color="auto"/>
        <w:left w:val="none" w:sz="0" w:space="0" w:color="auto"/>
        <w:bottom w:val="none" w:sz="0" w:space="0" w:color="auto"/>
        <w:right w:val="none" w:sz="0" w:space="0" w:color="auto"/>
      </w:divBdr>
    </w:div>
    <w:div w:id="1767770769">
      <w:marLeft w:val="0"/>
      <w:marRight w:val="0"/>
      <w:marTop w:val="10"/>
      <w:marBottom w:val="10"/>
      <w:divBdr>
        <w:top w:val="none" w:sz="0" w:space="0" w:color="auto"/>
        <w:left w:val="none" w:sz="0" w:space="0" w:color="auto"/>
        <w:bottom w:val="none" w:sz="0" w:space="0" w:color="auto"/>
        <w:right w:val="none" w:sz="0" w:space="0" w:color="auto"/>
      </w:divBdr>
    </w:div>
    <w:div w:id="1889338038">
      <w:marLeft w:val="0"/>
      <w:marRight w:val="0"/>
      <w:marTop w:val="10"/>
      <w:marBottom w:val="10"/>
      <w:divBdr>
        <w:top w:val="none" w:sz="0" w:space="0" w:color="auto"/>
        <w:left w:val="none" w:sz="0" w:space="0" w:color="auto"/>
        <w:bottom w:val="none" w:sz="0" w:space="0" w:color="auto"/>
        <w:right w:val="none" w:sz="0" w:space="0" w:color="auto"/>
      </w:divBdr>
    </w:div>
    <w:div w:id="195620829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