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96276D">
      <w:pPr>
        <w:spacing w:line="500" w:lineRule="atLeast"/>
        <w:jc w:val="center"/>
        <w:divId w:val="1154758821"/>
        <w:rPr>
          <w:rFonts w:ascii="黑体" w:eastAsia="黑体" w:hAnsi="黑体"/>
          <w:sz w:val="36"/>
          <w:szCs w:val="36"/>
        </w:rPr>
      </w:pPr>
      <w:bookmarkStart w:id="0" w:name="_GoBack"/>
      <w:bookmarkEnd w:id="0"/>
      <w:r>
        <w:rPr>
          <w:rFonts w:ascii="黑体" w:eastAsia="黑体" w:hAnsi="黑体" w:hint="eastAsia"/>
          <w:sz w:val="36"/>
          <w:szCs w:val="36"/>
        </w:rPr>
        <w:t>广东省高级人民法院</w:t>
      </w:r>
    </w:p>
    <w:p w:rsidR="00000000" w:rsidRDefault="0096276D">
      <w:pPr>
        <w:spacing w:line="500" w:lineRule="atLeast"/>
        <w:jc w:val="center"/>
        <w:divId w:val="48636366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96276D">
      <w:pPr>
        <w:spacing w:line="500" w:lineRule="atLeast"/>
        <w:jc w:val="right"/>
        <w:divId w:val="2052922403"/>
        <w:rPr>
          <w:rFonts w:hint="eastAsia"/>
          <w:sz w:val="30"/>
          <w:szCs w:val="30"/>
        </w:rPr>
      </w:pPr>
      <w:r>
        <w:rPr>
          <w:rFonts w:hint="eastAsia"/>
          <w:sz w:val="30"/>
          <w:szCs w:val="30"/>
        </w:rPr>
        <w:t>（</w:t>
      </w:r>
      <w:r>
        <w:rPr>
          <w:rFonts w:hint="eastAsia"/>
          <w:sz w:val="30"/>
          <w:szCs w:val="30"/>
        </w:rPr>
        <w:t>2020</w:t>
      </w:r>
      <w:r>
        <w:rPr>
          <w:rFonts w:hint="eastAsia"/>
          <w:sz w:val="30"/>
          <w:szCs w:val="30"/>
        </w:rPr>
        <w:t>）粤民申</w:t>
      </w:r>
      <w:r>
        <w:rPr>
          <w:rFonts w:hint="eastAsia"/>
          <w:sz w:val="30"/>
          <w:szCs w:val="30"/>
        </w:rPr>
        <w:t>14413</w:t>
      </w:r>
      <w:r>
        <w:rPr>
          <w:rFonts w:hint="eastAsia"/>
          <w:sz w:val="30"/>
          <w:szCs w:val="30"/>
        </w:rPr>
        <w:t>号</w:t>
      </w:r>
    </w:p>
    <w:p w:rsidR="00000000" w:rsidRDefault="0096276D">
      <w:pPr>
        <w:spacing w:line="500" w:lineRule="atLeast"/>
        <w:ind w:firstLine="600"/>
        <w:divId w:val="226307245"/>
        <w:rPr>
          <w:rFonts w:hint="eastAsia"/>
          <w:sz w:val="30"/>
          <w:szCs w:val="30"/>
        </w:rPr>
      </w:pPr>
      <w:r>
        <w:rPr>
          <w:rFonts w:hint="eastAsia"/>
          <w:sz w:val="30"/>
          <w:szCs w:val="30"/>
        </w:rPr>
        <w:t>再审申请人（一审原告、二审上诉人）：许光仲，男，</w:t>
      </w:r>
      <w:r>
        <w:rPr>
          <w:rFonts w:hint="eastAsia"/>
          <w:sz w:val="30"/>
          <w:szCs w:val="30"/>
        </w:rPr>
        <w:t>1941</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日出生，汉族，住湖北省襄樊市樊城区。</w:t>
      </w:r>
    </w:p>
    <w:p w:rsidR="00000000" w:rsidRDefault="0096276D">
      <w:pPr>
        <w:spacing w:line="500" w:lineRule="atLeast"/>
        <w:ind w:firstLine="600"/>
        <w:divId w:val="2055619221"/>
        <w:rPr>
          <w:rFonts w:hint="eastAsia"/>
          <w:sz w:val="30"/>
          <w:szCs w:val="30"/>
        </w:rPr>
      </w:pPr>
      <w:r>
        <w:rPr>
          <w:rFonts w:hint="eastAsia"/>
          <w:sz w:val="30"/>
          <w:szCs w:val="30"/>
        </w:rPr>
        <w:t>被申请人（一审被告、二审被上诉人）：深圳平乐骨伤科医院（深圳市坪山区中医院）。住所地：广东省深圳市坪山区坑梓街道坪山大道坑梓段</w:t>
      </w:r>
      <w:r>
        <w:rPr>
          <w:rFonts w:hint="eastAsia"/>
          <w:sz w:val="30"/>
          <w:szCs w:val="30"/>
        </w:rPr>
        <w:t>252</w:t>
      </w:r>
      <w:r>
        <w:rPr>
          <w:rFonts w:hint="eastAsia"/>
          <w:sz w:val="30"/>
          <w:szCs w:val="30"/>
        </w:rPr>
        <w:t>号。</w:t>
      </w:r>
    </w:p>
    <w:p w:rsidR="00000000" w:rsidRDefault="0096276D">
      <w:pPr>
        <w:spacing w:line="500" w:lineRule="atLeast"/>
        <w:ind w:firstLine="600"/>
        <w:divId w:val="1496803045"/>
        <w:rPr>
          <w:rFonts w:hint="eastAsia"/>
          <w:sz w:val="30"/>
          <w:szCs w:val="30"/>
        </w:rPr>
      </w:pPr>
      <w:r>
        <w:rPr>
          <w:rFonts w:hint="eastAsia"/>
          <w:sz w:val="30"/>
          <w:szCs w:val="30"/>
        </w:rPr>
        <w:t>法定代表人：李保林。</w:t>
      </w:r>
    </w:p>
    <w:p w:rsidR="00000000" w:rsidRDefault="0096276D">
      <w:pPr>
        <w:spacing w:line="500" w:lineRule="atLeast"/>
        <w:ind w:firstLine="600"/>
        <w:divId w:val="30423550"/>
        <w:rPr>
          <w:rFonts w:hint="eastAsia"/>
          <w:sz w:val="30"/>
          <w:szCs w:val="30"/>
        </w:rPr>
      </w:pPr>
      <w:r>
        <w:rPr>
          <w:rFonts w:hint="eastAsia"/>
          <w:sz w:val="30"/>
          <w:szCs w:val="30"/>
        </w:rPr>
        <w:t>再审申请人许光仲因与被申请人深圳平乐骨伤科医院（以下简称平乐医院）医疗损害责任纠纷一案，不服广东省深圳市中级人民法院</w:t>
      </w:r>
      <w:r>
        <w:rPr>
          <w:rFonts w:hint="eastAsia"/>
          <w:sz w:val="30"/>
          <w:szCs w:val="30"/>
        </w:rPr>
        <w:t>(2020)</w:t>
      </w:r>
      <w:r>
        <w:rPr>
          <w:rFonts w:hint="eastAsia"/>
          <w:sz w:val="30"/>
          <w:szCs w:val="30"/>
        </w:rPr>
        <w:t>粤</w:t>
      </w:r>
      <w:r>
        <w:rPr>
          <w:rFonts w:hint="eastAsia"/>
          <w:sz w:val="30"/>
          <w:szCs w:val="30"/>
        </w:rPr>
        <w:t>03</w:t>
      </w:r>
      <w:r>
        <w:rPr>
          <w:rFonts w:hint="eastAsia"/>
          <w:sz w:val="30"/>
          <w:szCs w:val="30"/>
        </w:rPr>
        <w:t>民终</w:t>
      </w:r>
      <w:r>
        <w:rPr>
          <w:rFonts w:hint="eastAsia"/>
          <w:sz w:val="30"/>
          <w:szCs w:val="30"/>
        </w:rPr>
        <w:t>6138</w:t>
      </w:r>
      <w:r>
        <w:rPr>
          <w:rFonts w:hint="eastAsia"/>
          <w:sz w:val="30"/>
          <w:szCs w:val="30"/>
        </w:rPr>
        <w:t>号民事判决，向本院申请再审。本院依法组成合议庭进行了审查，现已审查终结。</w:t>
      </w:r>
    </w:p>
    <w:p w:rsidR="00000000" w:rsidRDefault="0096276D">
      <w:pPr>
        <w:spacing w:line="500" w:lineRule="atLeast"/>
        <w:ind w:firstLine="600"/>
        <w:divId w:val="1858689702"/>
        <w:rPr>
          <w:rFonts w:hint="eastAsia"/>
          <w:sz w:val="30"/>
          <w:szCs w:val="30"/>
        </w:rPr>
      </w:pPr>
      <w:r>
        <w:rPr>
          <w:rFonts w:hint="eastAsia"/>
          <w:sz w:val="30"/>
          <w:szCs w:val="30"/>
        </w:rPr>
        <w:t>许光仲申请再审请求：撤销二审判决，改判平乐医院支付各项赔偿款共计</w:t>
      </w:r>
      <w:r>
        <w:rPr>
          <w:rFonts w:hint="eastAsia"/>
          <w:sz w:val="30"/>
          <w:szCs w:val="30"/>
        </w:rPr>
        <w:t>95150</w:t>
      </w:r>
      <w:r>
        <w:rPr>
          <w:rFonts w:hint="eastAsia"/>
          <w:sz w:val="30"/>
          <w:szCs w:val="30"/>
        </w:rPr>
        <w:t>元。事实和理由：</w:t>
      </w:r>
      <w:r>
        <w:rPr>
          <w:rFonts w:hint="eastAsia"/>
          <w:sz w:val="30"/>
          <w:szCs w:val="30"/>
        </w:rPr>
        <w:t>1.</w:t>
      </w:r>
      <w:r>
        <w:rPr>
          <w:rFonts w:hint="eastAsia"/>
          <w:sz w:val="30"/>
          <w:szCs w:val="30"/>
        </w:rPr>
        <w:t>二审判决认定基本事实不清。首先，本案无法进行鉴定的原因在于平乐医院提供了未加盖公章的伪造病历。根据侵权责任法第五十八条“患者有损害，因下列情形之一的，推定医疗机构有过错：（一）违反法律、行政法规、规</w:t>
      </w:r>
      <w:r>
        <w:rPr>
          <w:rFonts w:hint="eastAsia"/>
          <w:sz w:val="30"/>
          <w:szCs w:val="30"/>
        </w:rPr>
        <w:t>章以及其他有关诊疗规范的规定；（二）隐匿或者拒绝提供与纠纷有关的病历资料；（三）伪造、篡改或者销毁病历资料”的规定，应推定平乐医院具有过错，应对本案损失承担全部赔偿责任。其次，平乐医院在医疗事故发生后，不但不积极治疗，反而停止治疗三周，每天逼迫许光仲出医院，还给许光仲违法录像</w:t>
      </w:r>
      <w:r>
        <w:rPr>
          <w:rFonts w:hint="eastAsia"/>
          <w:sz w:val="30"/>
          <w:szCs w:val="30"/>
        </w:rPr>
        <w:t>6</w:t>
      </w:r>
      <w:r>
        <w:rPr>
          <w:rFonts w:hint="eastAsia"/>
          <w:sz w:val="30"/>
          <w:szCs w:val="30"/>
        </w:rPr>
        <w:t>次，双方发生激烈争吵，导致许光仲病情恶化，从心律不齐上升为心律失常再上升为冠心病，还写介绍信企图骗许光仲转医院治疗。其行为导致许光仲一级伤残，心功能</w:t>
      </w:r>
      <w:r>
        <w:rPr>
          <w:rFonts w:hint="eastAsia"/>
          <w:sz w:val="30"/>
          <w:szCs w:val="30"/>
        </w:rPr>
        <w:t>3</w:t>
      </w:r>
      <w:r>
        <w:rPr>
          <w:rFonts w:hint="eastAsia"/>
          <w:sz w:val="30"/>
          <w:szCs w:val="30"/>
        </w:rPr>
        <w:t>级只能再活</w:t>
      </w:r>
      <w:r>
        <w:rPr>
          <w:rFonts w:hint="eastAsia"/>
          <w:sz w:val="30"/>
          <w:szCs w:val="30"/>
        </w:rPr>
        <w:t>5</w:t>
      </w:r>
      <w:r>
        <w:rPr>
          <w:rFonts w:hint="eastAsia"/>
          <w:sz w:val="30"/>
          <w:szCs w:val="30"/>
        </w:rPr>
        <w:t>年，随时有猝死可</w:t>
      </w:r>
      <w:r>
        <w:rPr>
          <w:rFonts w:hint="eastAsia"/>
          <w:sz w:val="30"/>
          <w:szCs w:val="30"/>
        </w:rPr>
        <w:lastRenderedPageBreak/>
        <w:t>能，需要</w:t>
      </w:r>
      <w:r>
        <w:rPr>
          <w:rFonts w:hint="eastAsia"/>
          <w:sz w:val="30"/>
          <w:szCs w:val="30"/>
        </w:rPr>
        <w:t>24</w:t>
      </w:r>
      <w:r>
        <w:rPr>
          <w:rFonts w:hint="eastAsia"/>
          <w:sz w:val="30"/>
          <w:szCs w:val="30"/>
        </w:rPr>
        <w:t>小时陪护，因此，平乐医院应当赔偿许光仲的全部</w:t>
      </w:r>
      <w:r>
        <w:rPr>
          <w:rFonts w:hint="eastAsia"/>
          <w:sz w:val="30"/>
          <w:szCs w:val="30"/>
        </w:rPr>
        <w:t>经济损失共计</w:t>
      </w:r>
      <w:r>
        <w:rPr>
          <w:rFonts w:hint="eastAsia"/>
          <w:sz w:val="30"/>
          <w:szCs w:val="30"/>
        </w:rPr>
        <w:t>951500</w:t>
      </w:r>
      <w:r>
        <w:rPr>
          <w:rFonts w:hint="eastAsia"/>
          <w:sz w:val="30"/>
          <w:szCs w:val="30"/>
        </w:rPr>
        <w:t>元。</w:t>
      </w:r>
      <w:r>
        <w:rPr>
          <w:rFonts w:hint="eastAsia"/>
          <w:sz w:val="30"/>
          <w:szCs w:val="30"/>
        </w:rPr>
        <w:t>2.</w:t>
      </w:r>
      <w:r>
        <w:rPr>
          <w:rFonts w:hint="eastAsia"/>
          <w:sz w:val="30"/>
          <w:szCs w:val="30"/>
        </w:rPr>
        <w:t>一审判决是黑案冤案，二审判决为了保护一审法院，片面听信鉴定中心一面之词，冤枉许光仲并对坚持原则的许光仲进行训诫，属于滥用职权、司法不公的行为。</w:t>
      </w:r>
    </w:p>
    <w:p w:rsidR="00000000" w:rsidRDefault="0096276D">
      <w:pPr>
        <w:spacing w:line="500" w:lineRule="atLeast"/>
        <w:ind w:firstLine="600"/>
        <w:divId w:val="1180775518"/>
        <w:rPr>
          <w:rFonts w:hint="eastAsia"/>
          <w:sz w:val="30"/>
          <w:szCs w:val="30"/>
        </w:rPr>
      </w:pPr>
      <w:r>
        <w:rPr>
          <w:rFonts w:hint="eastAsia"/>
          <w:sz w:val="30"/>
          <w:szCs w:val="30"/>
        </w:rPr>
        <w:t>本院经审查认为，本案是再审申请审查案件，根据《最高人民法院关于适用〈中华人民共和国民事诉讼法〉的解释》第三百八十六条的规定，本案应对许光仲主张的再审事由进行审查。</w:t>
      </w:r>
    </w:p>
    <w:p w:rsidR="00000000" w:rsidRDefault="0096276D">
      <w:pPr>
        <w:spacing w:line="500" w:lineRule="atLeast"/>
        <w:ind w:firstLine="600"/>
        <w:divId w:val="100612421"/>
        <w:rPr>
          <w:rFonts w:hint="eastAsia"/>
          <w:sz w:val="30"/>
          <w:szCs w:val="30"/>
        </w:rPr>
      </w:pPr>
      <w:r>
        <w:rPr>
          <w:rFonts w:hint="eastAsia"/>
          <w:sz w:val="30"/>
          <w:szCs w:val="30"/>
        </w:rPr>
        <w:t>关于平乐医院应否承担赔偿责任的问题。根据《中华人民共和国侵权责任法》第五十四条“患者在诊疗活动中受到损害，医疗机构及其医务人员有过错的，由医疗机构承担赔偿责任”，以及《最高</w:t>
      </w:r>
      <w:r>
        <w:rPr>
          <w:rFonts w:hint="eastAsia"/>
          <w:sz w:val="30"/>
          <w:szCs w:val="30"/>
        </w:rPr>
        <w:t>人民法院关于审理医疗损害责任纠纷案件适用法律若干问题的解释》第四条“患者依据侵权责任法第五十四条规定主张医疗机构承担赔偿责任的，应当提交到该医疗机构就诊、受到损害的证据。患者无法提交医疗机构及其医务人员有过错、诊疗行为与损害之间具有因果关系的证据，依法提出医疗损害鉴定申请的，人民法院应予准许”的规定，许光仲主张其因平乐医院的诊疗行为导致人身伤害，应对平乐医院的诊疗行为存在过错，该诊疗过错导致许光仲所产生的经济损失承担举证证明责任。</w:t>
      </w:r>
    </w:p>
    <w:p w:rsidR="00000000" w:rsidRDefault="0096276D">
      <w:pPr>
        <w:spacing w:line="500" w:lineRule="atLeast"/>
        <w:ind w:firstLine="600"/>
        <w:divId w:val="766078065"/>
        <w:rPr>
          <w:rFonts w:hint="eastAsia"/>
          <w:sz w:val="30"/>
          <w:szCs w:val="30"/>
        </w:rPr>
      </w:pPr>
      <w:r>
        <w:rPr>
          <w:rFonts w:hint="eastAsia"/>
          <w:sz w:val="30"/>
          <w:szCs w:val="30"/>
        </w:rPr>
        <w:t>二审法院经审理查明，</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日，案外人徐哲驾驶车辆行驶时，车头右侧</w:t>
      </w:r>
      <w:r>
        <w:rPr>
          <w:rFonts w:hint="eastAsia"/>
          <w:sz w:val="30"/>
          <w:szCs w:val="30"/>
        </w:rPr>
        <w:t>与许光仲发生碰撞导致许光仲受伤。经交警部门认定，案外人徐哲负事故全部责任。许光仲被送至深圳中海医院就诊，检查左胫腓骨</w:t>
      </w:r>
      <w:r>
        <w:rPr>
          <w:rFonts w:hint="eastAsia"/>
          <w:sz w:val="30"/>
          <w:szCs w:val="30"/>
        </w:rPr>
        <w:t>X</w:t>
      </w:r>
      <w:r>
        <w:rPr>
          <w:rFonts w:hint="eastAsia"/>
          <w:sz w:val="30"/>
          <w:szCs w:val="30"/>
        </w:rPr>
        <w:t>线片显示许光仲左胫骨下段骨折等。</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14</w:t>
      </w:r>
      <w:r>
        <w:rPr>
          <w:rFonts w:hint="eastAsia"/>
          <w:sz w:val="30"/>
          <w:szCs w:val="30"/>
        </w:rPr>
        <w:t>日期间，许光仲到平乐医院入院治疗</w:t>
      </w:r>
      <w:r>
        <w:rPr>
          <w:rFonts w:hint="eastAsia"/>
          <w:sz w:val="30"/>
          <w:szCs w:val="30"/>
        </w:rPr>
        <w:t>420</w:t>
      </w:r>
      <w:r>
        <w:rPr>
          <w:rFonts w:hint="eastAsia"/>
          <w:sz w:val="30"/>
          <w:szCs w:val="30"/>
        </w:rPr>
        <w:t>天，入院诊断为左胫腓骨远端骨</w:t>
      </w:r>
      <w:r>
        <w:rPr>
          <w:rFonts w:hint="eastAsia"/>
          <w:sz w:val="30"/>
          <w:szCs w:val="30"/>
        </w:rPr>
        <w:lastRenderedPageBreak/>
        <w:t>折。之后，许光仲认为平乐医院在诊疗过程中存在伪造、篡改病历，对其打击报复致其伤残等情形，因此起诉请求平乐医院赔偿其经济损失。对于平乐医院是否存在医疗过错行为、过错行为与损害后果是否存在因果关系等专门性问题，经一审法院委托，广东华生司法鉴定中心受理了该项司法</w:t>
      </w:r>
      <w:r>
        <w:rPr>
          <w:rFonts w:hint="eastAsia"/>
          <w:sz w:val="30"/>
          <w:szCs w:val="30"/>
        </w:rPr>
        <w:t>鉴定。但由于许光仲不认可平乐医院提供的鉴定材料，并且对鉴定机构和鉴定人员实施干扰，广东华生司法鉴定中心决定终止鉴定。即便如此，二审法院考虑到许光仲年近八旬，平乐医院手术前仅向许光仲的女儿而未向许光仲本人履行告知义务的行为，影响许光仲正常行使知情权及选择权，并且考虑到平乐医院存在未按规定书写病历、发生医疗纠纷后未通知患方共同封存病历等不当行为，存在一定过错，因此酌定平乐医院承担八万元的赔偿责任，并无不当。</w:t>
      </w:r>
    </w:p>
    <w:p w:rsidR="00000000" w:rsidRDefault="0096276D">
      <w:pPr>
        <w:spacing w:line="500" w:lineRule="atLeast"/>
        <w:ind w:firstLine="600"/>
        <w:divId w:val="1598364085"/>
        <w:rPr>
          <w:rFonts w:hint="eastAsia"/>
          <w:sz w:val="30"/>
          <w:szCs w:val="30"/>
        </w:rPr>
      </w:pPr>
      <w:r>
        <w:rPr>
          <w:rFonts w:hint="eastAsia"/>
          <w:sz w:val="30"/>
          <w:szCs w:val="30"/>
        </w:rPr>
        <w:t>许光仲申请再审提出平乐医院治疗其交通事故伤害的诊疗行为导致其心律严重失常并诱发冠心病、一级伤残、护理完全</w:t>
      </w:r>
      <w:r>
        <w:rPr>
          <w:rFonts w:hint="eastAsia"/>
          <w:sz w:val="30"/>
          <w:szCs w:val="30"/>
        </w:rPr>
        <w:t>依赖的损害后果，但由于许光仲在交通事故中所受伤害为骨折，许光仲对其所主张的平乐医院治疗其骨折的行为导致其冠心病、一级伤残的伤害后果，以及诊疗过错与该伤害后果存在因果关系等情形均未能充分举证予以证明，本院对其主张不予采纳。</w:t>
      </w:r>
    </w:p>
    <w:p w:rsidR="00000000" w:rsidRDefault="0096276D">
      <w:pPr>
        <w:spacing w:line="500" w:lineRule="atLeast"/>
        <w:ind w:firstLine="600"/>
        <w:divId w:val="1261067241"/>
        <w:rPr>
          <w:rFonts w:hint="eastAsia"/>
          <w:sz w:val="30"/>
          <w:szCs w:val="30"/>
        </w:rPr>
      </w:pPr>
      <w:r>
        <w:rPr>
          <w:rFonts w:hint="eastAsia"/>
          <w:sz w:val="30"/>
          <w:szCs w:val="30"/>
        </w:rPr>
        <w:t>至于许光仲所主张的一审法院、二审法院均存在滥用职权、司法不公等问题，由于许光仲未能提供充分证据予以证明，本院亦不予采纳。</w:t>
      </w:r>
    </w:p>
    <w:p w:rsidR="00000000" w:rsidRDefault="0096276D">
      <w:pPr>
        <w:spacing w:line="500" w:lineRule="atLeast"/>
        <w:ind w:firstLine="600"/>
        <w:divId w:val="516893315"/>
        <w:rPr>
          <w:rFonts w:hint="eastAsia"/>
          <w:sz w:val="30"/>
          <w:szCs w:val="30"/>
        </w:rPr>
      </w:pPr>
      <w:r>
        <w:rPr>
          <w:rFonts w:hint="eastAsia"/>
          <w:sz w:val="30"/>
          <w:szCs w:val="30"/>
        </w:rPr>
        <w:t>综上所述，许光仲的再审申请不属于《中华人民共和国民事诉讼法》第二百条规定的再审事由。依照《中华人民共和国民事诉讼法》第二百零四条第一款、《最高人民法院关于适用〈中华人民</w:t>
      </w:r>
      <w:r>
        <w:rPr>
          <w:rFonts w:hint="eastAsia"/>
          <w:sz w:val="30"/>
          <w:szCs w:val="30"/>
        </w:rPr>
        <w:t>共和国民事诉讼法〉的解释》第三百九十五条第二款的规定，裁定如下：</w:t>
      </w:r>
    </w:p>
    <w:p w:rsidR="00000000" w:rsidRDefault="0096276D">
      <w:pPr>
        <w:spacing w:line="500" w:lineRule="atLeast"/>
        <w:ind w:firstLine="600"/>
        <w:divId w:val="1966690764"/>
        <w:rPr>
          <w:rFonts w:hint="eastAsia"/>
          <w:sz w:val="30"/>
          <w:szCs w:val="30"/>
        </w:rPr>
      </w:pPr>
      <w:r>
        <w:rPr>
          <w:rFonts w:hint="eastAsia"/>
          <w:sz w:val="30"/>
          <w:szCs w:val="30"/>
        </w:rPr>
        <w:t>驳回许光仲的再审申请。</w:t>
      </w:r>
    </w:p>
    <w:p w:rsidR="00000000" w:rsidRDefault="0096276D">
      <w:pPr>
        <w:spacing w:line="500" w:lineRule="atLeast"/>
        <w:jc w:val="right"/>
        <w:divId w:val="552273726"/>
        <w:rPr>
          <w:rFonts w:hint="eastAsia"/>
          <w:sz w:val="30"/>
          <w:szCs w:val="30"/>
        </w:rPr>
      </w:pPr>
      <w:r>
        <w:rPr>
          <w:rFonts w:hint="eastAsia"/>
          <w:sz w:val="30"/>
          <w:szCs w:val="30"/>
        </w:rPr>
        <w:t>审判长　赵　虹</w:t>
      </w:r>
    </w:p>
    <w:p w:rsidR="00000000" w:rsidRDefault="0096276D">
      <w:pPr>
        <w:spacing w:line="500" w:lineRule="atLeast"/>
        <w:jc w:val="right"/>
        <w:divId w:val="1537428480"/>
        <w:rPr>
          <w:rFonts w:hint="eastAsia"/>
          <w:sz w:val="30"/>
          <w:szCs w:val="30"/>
        </w:rPr>
      </w:pPr>
      <w:r>
        <w:rPr>
          <w:rFonts w:hint="eastAsia"/>
          <w:sz w:val="30"/>
          <w:szCs w:val="30"/>
        </w:rPr>
        <w:t>审判员　钟向芬</w:t>
      </w:r>
    </w:p>
    <w:p w:rsidR="00000000" w:rsidRDefault="0096276D">
      <w:pPr>
        <w:spacing w:line="500" w:lineRule="atLeast"/>
        <w:jc w:val="right"/>
        <w:divId w:val="971979425"/>
        <w:rPr>
          <w:rFonts w:hint="eastAsia"/>
          <w:sz w:val="30"/>
          <w:szCs w:val="30"/>
        </w:rPr>
      </w:pPr>
      <w:r>
        <w:rPr>
          <w:rFonts w:hint="eastAsia"/>
          <w:sz w:val="30"/>
          <w:szCs w:val="30"/>
        </w:rPr>
        <w:t>审判员　王　凯</w:t>
      </w:r>
    </w:p>
    <w:p w:rsidR="00000000" w:rsidRDefault="0096276D">
      <w:pPr>
        <w:spacing w:line="500" w:lineRule="atLeast"/>
        <w:jc w:val="right"/>
        <w:divId w:val="1249118952"/>
        <w:rPr>
          <w:rFonts w:hint="eastAsia"/>
          <w:sz w:val="30"/>
          <w:szCs w:val="30"/>
        </w:rPr>
      </w:pPr>
      <w:r>
        <w:rPr>
          <w:rFonts w:hint="eastAsia"/>
          <w:sz w:val="30"/>
          <w:szCs w:val="30"/>
        </w:rPr>
        <w:t>二〇二一年三月十五日</w:t>
      </w:r>
    </w:p>
    <w:p w:rsidR="00000000" w:rsidRDefault="0096276D">
      <w:pPr>
        <w:spacing w:line="500" w:lineRule="atLeast"/>
        <w:jc w:val="right"/>
        <w:divId w:val="1643653596"/>
        <w:rPr>
          <w:rFonts w:hint="eastAsia"/>
          <w:sz w:val="30"/>
          <w:szCs w:val="30"/>
        </w:rPr>
      </w:pPr>
      <w:r>
        <w:rPr>
          <w:rFonts w:hint="eastAsia"/>
          <w:sz w:val="30"/>
          <w:szCs w:val="30"/>
        </w:rPr>
        <w:t>书记员　方佳阳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76D" w:rsidRDefault="0096276D" w:rsidP="0096276D">
      <w:r>
        <w:separator/>
      </w:r>
    </w:p>
  </w:endnote>
  <w:endnote w:type="continuationSeparator" w:id="0">
    <w:p w:rsidR="0096276D" w:rsidRDefault="0096276D" w:rsidP="00962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76D" w:rsidRDefault="0096276D" w:rsidP="0096276D">
      <w:r>
        <w:separator/>
      </w:r>
    </w:p>
  </w:footnote>
  <w:footnote w:type="continuationSeparator" w:id="0">
    <w:p w:rsidR="0096276D" w:rsidRDefault="0096276D" w:rsidP="009627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6276D"/>
    <w:rsid w:val="00962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9627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6276D"/>
    <w:rPr>
      <w:rFonts w:ascii="宋体" w:eastAsia="宋体" w:hAnsi="宋体" w:cs="宋体"/>
      <w:sz w:val="18"/>
      <w:szCs w:val="18"/>
    </w:rPr>
  </w:style>
  <w:style w:type="paragraph" w:styleId="a5">
    <w:name w:val="footer"/>
    <w:basedOn w:val="a"/>
    <w:link w:val="a6"/>
    <w:uiPriority w:val="99"/>
    <w:unhideWhenUsed/>
    <w:rsid w:val="0096276D"/>
    <w:pPr>
      <w:tabs>
        <w:tab w:val="center" w:pos="4153"/>
        <w:tab w:val="right" w:pos="8306"/>
      </w:tabs>
      <w:snapToGrid w:val="0"/>
    </w:pPr>
    <w:rPr>
      <w:sz w:val="18"/>
      <w:szCs w:val="18"/>
    </w:rPr>
  </w:style>
  <w:style w:type="character" w:customStyle="1" w:styleId="a6">
    <w:name w:val="页脚 字符"/>
    <w:basedOn w:val="a0"/>
    <w:link w:val="a5"/>
    <w:uiPriority w:val="99"/>
    <w:rsid w:val="0096276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3550">
      <w:marLeft w:val="0"/>
      <w:marRight w:val="0"/>
      <w:marTop w:val="10"/>
      <w:marBottom w:val="10"/>
      <w:divBdr>
        <w:top w:val="none" w:sz="0" w:space="0" w:color="auto"/>
        <w:left w:val="none" w:sz="0" w:space="0" w:color="auto"/>
        <w:bottom w:val="none" w:sz="0" w:space="0" w:color="auto"/>
        <w:right w:val="none" w:sz="0" w:space="0" w:color="auto"/>
      </w:divBdr>
    </w:div>
    <w:div w:id="100612421">
      <w:marLeft w:val="0"/>
      <w:marRight w:val="0"/>
      <w:marTop w:val="10"/>
      <w:marBottom w:val="10"/>
      <w:divBdr>
        <w:top w:val="none" w:sz="0" w:space="0" w:color="auto"/>
        <w:left w:val="none" w:sz="0" w:space="0" w:color="auto"/>
        <w:bottom w:val="none" w:sz="0" w:space="0" w:color="auto"/>
        <w:right w:val="none" w:sz="0" w:space="0" w:color="auto"/>
      </w:divBdr>
    </w:div>
    <w:div w:id="226307245">
      <w:marLeft w:val="0"/>
      <w:marRight w:val="0"/>
      <w:marTop w:val="10"/>
      <w:marBottom w:val="10"/>
      <w:divBdr>
        <w:top w:val="none" w:sz="0" w:space="0" w:color="auto"/>
        <w:left w:val="none" w:sz="0" w:space="0" w:color="auto"/>
        <w:bottom w:val="none" w:sz="0" w:space="0" w:color="auto"/>
        <w:right w:val="none" w:sz="0" w:space="0" w:color="auto"/>
      </w:divBdr>
    </w:div>
    <w:div w:id="486363662">
      <w:marLeft w:val="0"/>
      <w:marRight w:val="0"/>
      <w:marTop w:val="10"/>
      <w:marBottom w:val="10"/>
      <w:divBdr>
        <w:top w:val="none" w:sz="0" w:space="0" w:color="auto"/>
        <w:left w:val="none" w:sz="0" w:space="0" w:color="auto"/>
        <w:bottom w:val="none" w:sz="0" w:space="0" w:color="auto"/>
        <w:right w:val="none" w:sz="0" w:space="0" w:color="auto"/>
      </w:divBdr>
    </w:div>
    <w:div w:id="516893315">
      <w:marLeft w:val="0"/>
      <w:marRight w:val="0"/>
      <w:marTop w:val="10"/>
      <w:marBottom w:val="10"/>
      <w:divBdr>
        <w:top w:val="none" w:sz="0" w:space="0" w:color="auto"/>
        <w:left w:val="none" w:sz="0" w:space="0" w:color="auto"/>
        <w:bottom w:val="none" w:sz="0" w:space="0" w:color="auto"/>
        <w:right w:val="none" w:sz="0" w:space="0" w:color="auto"/>
      </w:divBdr>
    </w:div>
    <w:div w:id="552273726">
      <w:marLeft w:val="0"/>
      <w:marRight w:val="720"/>
      <w:marTop w:val="10"/>
      <w:marBottom w:val="10"/>
      <w:divBdr>
        <w:top w:val="none" w:sz="0" w:space="0" w:color="auto"/>
        <w:left w:val="none" w:sz="0" w:space="0" w:color="auto"/>
        <w:bottom w:val="none" w:sz="0" w:space="0" w:color="auto"/>
        <w:right w:val="none" w:sz="0" w:space="0" w:color="auto"/>
      </w:divBdr>
    </w:div>
    <w:div w:id="766078065">
      <w:marLeft w:val="0"/>
      <w:marRight w:val="0"/>
      <w:marTop w:val="10"/>
      <w:marBottom w:val="10"/>
      <w:divBdr>
        <w:top w:val="none" w:sz="0" w:space="0" w:color="auto"/>
        <w:left w:val="none" w:sz="0" w:space="0" w:color="auto"/>
        <w:bottom w:val="none" w:sz="0" w:space="0" w:color="auto"/>
        <w:right w:val="none" w:sz="0" w:space="0" w:color="auto"/>
      </w:divBdr>
    </w:div>
    <w:div w:id="971979425">
      <w:marLeft w:val="0"/>
      <w:marRight w:val="720"/>
      <w:marTop w:val="10"/>
      <w:marBottom w:val="10"/>
      <w:divBdr>
        <w:top w:val="none" w:sz="0" w:space="0" w:color="auto"/>
        <w:left w:val="none" w:sz="0" w:space="0" w:color="auto"/>
        <w:bottom w:val="none" w:sz="0" w:space="0" w:color="auto"/>
        <w:right w:val="none" w:sz="0" w:space="0" w:color="auto"/>
      </w:divBdr>
    </w:div>
    <w:div w:id="1154758821">
      <w:marLeft w:val="0"/>
      <w:marRight w:val="0"/>
      <w:marTop w:val="10"/>
      <w:marBottom w:val="10"/>
      <w:divBdr>
        <w:top w:val="none" w:sz="0" w:space="0" w:color="auto"/>
        <w:left w:val="none" w:sz="0" w:space="0" w:color="auto"/>
        <w:bottom w:val="none" w:sz="0" w:space="0" w:color="auto"/>
        <w:right w:val="none" w:sz="0" w:space="0" w:color="auto"/>
      </w:divBdr>
    </w:div>
    <w:div w:id="1180775518">
      <w:marLeft w:val="0"/>
      <w:marRight w:val="0"/>
      <w:marTop w:val="10"/>
      <w:marBottom w:val="10"/>
      <w:divBdr>
        <w:top w:val="none" w:sz="0" w:space="0" w:color="auto"/>
        <w:left w:val="none" w:sz="0" w:space="0" w:color="auto"/>
        <w:bottom w:val="none" w:sz="0" w:space="0" w:color="auto"/>
        <w:right w:val="none" w:sz="0" w:space="0" w:color="auto"/>
      </w:divBdr>
    </w:div>
    <w:div w:id="1249118952">
      <w:marLeft w:val="0"/>
      <w:marRight w:val="720"/>
      <w:marTop w:val="10"/>
      <w:marBottom w:val="10"/>
      <w:divBdr>
        <w:top w:val="none" w:sz="0" w:space="0" w:color="auto"/>
        <w:left w:val="none" w:sz="0" w:space="0" w:color="auto"/>
        <w:bottom w:val="none" w:sz="0" w:space="0" w:color="auto"/>
        <w:right w:val="none" w:sz="0" w:space="0" w:color="auto"/>
      </w:divBdr>
    </w:div>
    <w:div w:id="1261067241">
      <w:marLeft w:val="0"/>
      <w:marRight w:val="0"/>
      <w:marTop w:val="10"/>
      <w:marBottom w:val="10"/>
      <w:divBdr>
        <w:top w:val="none" w:sz="0" w:space="0" w:color="auto"/>
        <w:left w:val="none" w:sz="0" w:space="0" w:color="auto"/>
        <w:bottom w:val="none" w:sz="0" w:space="0" w:color="auto"/>
        <w:right w:val="none" w:sz="0" w:space="0" w:color="auto"/>
      </w:divBdr>
    </w:div>
    <w:div w:id="1496803045">
      <w:marLeft w:val="0"/>
      <w:marRight w:val="0"/>
      <w:marTop w:val="10"/>
      <w:marBottom w:val="10"/>
      <w:divBdr>
        <w:top w:val="none" w:sz="0" w:space="0" w:color="auto"/>
        <w:left w:val="none" w:sz="0" w:space="0" w:color="auto"/>
        <w:bottom w:val="none" w:sz="0" w:space="0" w:color="auto"/>
        <w:right w:val="none" w:sz="0" w:space="0" w:color="auto"/>
      </w:divBdr>
    </w:div>
    <w:div w:id="1537428480">
      <w:marLeft w:val="0"/>
      <w:marRight w:val="720"/>
      <w:marTop w:val="10"/>
      <w:marBottom w:val="10"/>
      <w:divBdr>
        <w:top w:val="none" w:sz="0" w:space="0" w:color="auto"/>
        <w:left w:val="none" w:sz="0" w:space="0" w:color="auto"/>
        <w:bottom w:val="none" w:sz="0" w:space="0" w:color="auto"/>
        <w:right w:val="none" w:sz="0" w:space="0" w:color="auto"/>
      </w:divBdr>
    </w:div>
    <w:div w:id="1598364085">
      <w:marLeft w:val="0"/>
      <w:marRight w:val="0"/>
      <w:marTop w:val="10"/>
      <w:marBottom w:val="10"/>
      <w:divBdr>
        <w:top w:val="none" w:sz="0" w:space="0" w:color="auto"/>
        <w:left w:val="none" w:sz="0" w:space="0" w:color="auto"/>
        <w:bottom w:val="none" w:sz="0" w:space="0" w:color="auto"/>
        <w:right w:val="none" w:sz="0" w:space="0" w:color="auto"/>
      </w:divBdr>
    </w:div>
    <w:div w:id="1643653596">
      <w:marLeft w:val="0"/>
      <w:marRight w:val="720"/>
      <w:marTop w:val="10"/>
      <w:marBottom w:val="10"/>
      <w:divBdr>
        <w:top w:val="none" w:sz="0" w:space="0" w:color="auto"/>
        <w:left w:val="none" w:sz="0" w:space="0" w:color="auto"/>
        <w:bottom w:val="none" w:sz="0" w:space="0" w:color="auto"/>
        <w:right w:val="none" w:sz="0" w:space="0" w:color="auto"/>
      </w:divBdr>
    </w:div>
    <w:div w:id="1858689702">
      <w:marLeft w:val="0"/>
      <w:marRight w:val="0"/>
      <w:marTop w:val="10"/>
      <w:marBottom w:val="10"/>
      <w:divBdr>
        <w:top w:val="none" w:sz="0" w:space="0" w:color="auto"/>
        <w:left w:val="none" w:sz="0" w:space="0" w:color="auto"/>
        <w:bottom w:val="none" w:sz="0" w:space="0" w:color="auto"/>
        <w:right w:val="none" w:sz="0" w:space="0" w:color="auto"/>
      </w:divBdr>
    </w:div>
    <w:div w:id="1966690764">
      <w:marLeft w:val="0"/>
      <w:marRight w:val="0"/>
      <w:marTop w:val="10"/>
      <w:marBottom w:val="10"/>
      <w:divBdr>
        <w:top w:val="none" w:sz="0" w:space="0" w:color="auto"/>
        <w:left w:val="none" w:sz="0" w:space="0" w:color="auto"/>
        <w:bottom w:val="none" w:sz="0" w:space="0" w:color="auto"/>
        <w:right w:val="none" w:sz="0" w:space="0" w:color="auto"/>
      </w:divBdr>
    </w:div>
    <w:div w:id="2052922403">
      <w:marLeft w:val="0"/>
      <w:marRight w:val="0"/>
      <w:marTop w:val="10"/>
      <w:marBottom w:val="10"/>
      <w:divBdr>
        <w:top w:val="none" w:sz="0" w:space="0" w:color="auto"/>
        <w:left w:val="none" w:sz="0" w:space="0" w:color="auto"/>
        <w:bottom w:val="none" w:sz="0" w:space="0" w:color="auto"/>
        <w:right w:val="none" w:sz="0" w:space="0" w:color="auto"/>
      </w:divBdr>
    </w:div>
    <w:div w:id="205561922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2023-04-10T06:59:00Z</dcterms:created>
  <dcterms:modified xsi:type="dcterms:W3CDTF">2023-04-10T06:59:00Z</dcterms:modified>
</cp:coreProperties>
</file>