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61F13">
      <w:pPr>
        <w:spacing w:line="500" w:lineRule="atLeast"/>
        <w:jc w:val="center"/>
        <w:divId w:val="489761255"/>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F61F13">
      <w:pPr>
        <w:spacing w:line="500" w:lineRule="atLeast"/>
        <w:jc w:val="center"/>
        <w:divId w:val="6014961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61F13">
      <w:pPr>
        <w:spacing w:line="500" w:lineRule="atLeast"/>
        <w:jc w:val="right"/>
        <w:divId w:val="1566187421"/>
        <w:rPr>
          <w:rFonts w:hint="eastAsia"/>
          <w:sz w:val="30"/>
          <w:szCs w:val="30"/>
        </w:rPr>
      </w:pPr>
      <w:r>
        <w:rPr>
          <w:rFonts w:hint="eastAsia"/>
          <w:sz w:val="30"/>
          <w:szCs w:val="30"/>
        </w:rPr>
        <w:t>（</w:t>
      </w:r>
      <w:r>
        <w:rPr>
          <w:rFonts w:hint="eastAsia"/>
          <w:sz w:val="30"/>
          <w:szCs w:val="30"/>
        </w:rPr>
        <w:t>2020</w:t>
      </w:r>
      <w:r>
        <w:rPr>
          <w:rFonts w:hint="eastAsia"/>
          <w:sz w:val="30"/>
          <w:szCs w:val="30"/>
        </w:rPr>
        <w:t>）苏民申</w:t>
      </w:r>
      <w:r>
        <w:rPr>
          <w:rFonts w:hint="eastAsia"/>
          <w:sz w:val="30"/>
          <w:szCs w:val="30"/>
        </w:rPr>
        <w:t>5518</w:t>
      </w:r>
      <w:r>
        <w:rPr>
          <w:rFonts w:hint="eastAsia"/>
          <w:sz w:val="30"/>
          <w:szCs w:val="30"/>
        </w:rPr>
        <w:t>号</w:t>
      </w:r>
    </w:p>
    <w:p w:rsidR="00000000" w:rsidRDefault="00F61F13">
      <w:pPr>
        <w:spacing w:line="500" w:lineRule="atLeast"/>
        <w:ind w:firstLine="600"/>
        <w:divId w:val="1505822707"/>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：赵云侠，女，</w:t>
      </w:r>
      <w:r>
        <w:rPr>
          <w:rFonts w:hint="eastAsia"/>
          <w:sz w:val="30"/>
          <w:szCs w:val="30"/>
        </w:rPr>
        <w:t>1973</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日生，汉族，住江苏省苏州市吴中区。</w:t>
      </w:r>
    </w:p>
    <w:p w:rsidR="00000000" w:rsidRDefault="00F61F13">
      <w:pPr>
        <w:spacing w:line="500" w:lineRule="atLeast"/>
        <w:ind w:firstLine="600"/>
        <w:divId w:val="2022587852"/>
        <w:rPr>
          <w:rFonts w:hint="eastAsia"/>
          <w:sz w:val="30"/>
          <w:szCs w:val="30"/>
        </w:rPr>
      </w:pPr>
      <w:r>
        <w:rPr>
          <w:rFonts w:hint="eastAsia"/>
          <w:sz w:val="30"/>
          <w:szCs w:val="30"/>
        </w:rPr>
        <w:t>被申请人（一审被告、二审上诉人）：苏州市吴中人民医院，住所地江苏省苏州市吴中区东吴北路</w:t>
      </w:r>
      <w:r>
        <w:rPr>
          <w:rFonts w:hint="eastAsia"/>
          <w:sz w:val="30"/>
          <w:szCs w:val="30"/>
        </w:rPr>
        <w:t>61</w:t>
      </w:r>
      <w:r>
        <w:rPr>
          <w:rFonts w:hint="eastAsia"/>
          <w:sz w:val="30"/>
          <w:szCs w:val="30"/>
        </w:rPr>
        <w:t>号。</w:t>
      </w:r>
    </w:p>
    <w:p w:rsidR="00000000" w:rsidRDefault="00F61F13">
      <w:pPr>
        <w:spacing w:line="500" w:lineRule="atLeast"/>
        <w:ind w:firstLine="600"/>
        <w:divId w:val="1685981110"/>
        <w:rPr>
          <w:rFonts w:hint="eastAsia"/>
          <w:sz w:val="30"/>
          <w:szCs w:val="30"/>
        </w:rPr>
      </w:pPr>
      <w:r>
        <w:rPr>
          <w:rFonts w:hint="eastAsia"/>
          <w:sz w:val="30"/>
          <w:szCs w:val="30"/>
        </w:rPr>
        <w:t>法定代表人：王平，该院院长。</w:t>
      </w:r>
    </w:p>
    <w:p w:rsidR="00000000" w:rsidRDefault="00F61F13">
      <w:pPr>
        <w:spacing w:line="500" w:lineRule="atLeast"/>
        <w:ind w:firstLine="600"/>
        <w:divId w:val="1471480773"/>
        <w:rPr>
          <w:rFonts w:hint="eastAsia"/>
          <w:sz w:val="30"/>
          <w:szCs w:val="30"/>
        </w:rPr>
      </w:pPr>
      <w:r>
        <w:rPr>
          <w:rFonts w:hint="eastAsia"/>
          <w:sz w:val="30"/>
          <w:szCs w:val="30"/>
        </w:rPr>
        <w:t>再审申请人赵云侠与被申请人苏州市吴中人民医院（以下简称吴中医院）医疗损害责任纠纷一案，不服江苏省苏州市中级人民法院（</w:t>
      </w:r>
      <w:r>
        <w:rPr>
          <w:rFonts w:hint="eastAsia"/>
          <w:sz w:val="30"/>
          <w:szCs w:val="30"/>
        </w:rPr>
        <w:t>2018</w:t>
      </w:r>
      <w:r>
        <w:rPr>
          <w:rFonts w:hint="eastAsia"/>
          <w:sz w:val="30"/>
          <w:szCs w:val="30"/>
        </w:rPr>
        <w:t>）苏</w:t>
      </w:r>
      <w:r>
        <w:rPr>
          <w:rFonts w:hint="eastAsia"/>
          <w:sz w:val="30"/>
          <w:szCs w:val="30"/>
        </w:rPr>
        <w:t>05</w:t>
      </w:r>
      <w:r>
        <w:rPr>
          <w:rFonts w:hint="eastAsia"/>
          <w:sz w:val="30"/>
          <w:szCs w:val="30"/>
        </w:rPr>
        <w:t>民终</w:t>
      </w:r>
      <w:r>
        <w:rPr>
          <w:rFonts w:hint="eastAsia"/>
          <w:sz w:val="30"/>
          <w:szCs w:val="30"/>
        </w:rPr>
        <w:t>9143</w:t>
      </w:r>
      <w:r>
        <w:rPr>
          <w:rFonts w:hint="eastAsia"/>
          <w:sz w:val="30"/>
          <w:szCs w:val="30"/>
        </w:rPr>
        <w:t>号民事判决，向本院申请再审。本院依法组成合议庭进行了审查，现已审查终结。</w:t>
      </w:r>
    </w:p>
    <w:p w:rsidR="00000000" w:rsidRDefault="00F61F13">
      <w:pPr>
        <w:spacing w:line="500" w:lineRule="atLeast"/>
        <w:ind w:firstLine="600"/>
        <w:divId w:val="327100896"/>
        <w:rPr>
          <w:rFonts w:hint="eastAsia"/>
          <w:sz w:val="30"/>
          <w:szCs w:val="30"/>
        </w:rPr>
      </w:pPr>
      <w:r>
        <w:rPr>
          <w:rFonts w:hint="eastAsia"/>
          <w:sz w:val="30"/>
          <w:szCs w:val="30"/>
        </w:rPr>
        <w:t>赵云侠申请再审称，</w:t>
      </w:r>
      <w:r>
        <w:rPr>
          <w:rFonts w:hint="eastAsia"/>
          <w:sz w:val="30"/>
          <w:szCs w:val="30"/>
        </w:rPr>
        <w:t>1</w:t>
      </w:r>
      <w:r>
        <w:rPr>
          <w:rFonts w:hint="eastAsia"/>
          <w:sz w:val="30"/>
          <w:szCs w:val="30"/>
        </w:rPr>
        <w:t>、二审法院采信的主观病历未经质证，二审法院认定双方在另案中对案涉五套病历均无异议没有事实依据。</w:t>
      </w:r>
      <w:r>
        <w:rPr>
          <w:rFonts w:hint="eastAsia"/>
          <w:sz w:val="30"/>
          <w:szCs w:val="30"/>
        </w:rPr>
        <w:t>2</w:t>
      </w:r>
      <w:r>
        <w:rPr>
          <w:rFonts w:hint="eastAsia"/>
          <w:sz w:val="30"/>
          <w:szCs w:val="30"/>
        </w:rPr>
        <w:t>、二审法院对于《病程记录》证明力的认定违反证据规则，案涉鉴定报告不具有证明效力，遗漏多个鉴定事项，该鉴定报告未依据诊疗规范进行针对性的分析说明，意见缺乏正当性，二审法院予以采信错</w:t>
      </w:r>
      <w:r>
        <w:rPr>
          <w:rFonts w:hint="eastAsia"/>
          <w:sz w:val="30"/>
          <w:szCs w:val="30"/>
        </w:rPr>
        <w:t>误。</w:t>
      </w:r>
      <w:r>
        <w:rPr>
          <w:rFonts w:hint="eastAsia"/>
          <w:sz w:val="30"/>
          <w:szCs w:val="30"/>
        </w:rPr>
        <w:t>3</w:t>
      </w:r>
      <w:r>
        <w:rPr>
          <w:rFonts w:hint="eastAsia"/>
          <w:sz w:val="30"/>
          <w:szCs w:val="30"/>
        </w:rPr>
        <w:t>、鉴定已经确认患者心衰，但医院未进行对症治疗，对此医院存在过错。</w:t>
      </w:r>
      <w:r>
        <w:rPr>
          <w:rFonts w:hint="eastAsia"/>
          <w:sz w:val="30"/>
          <w:szCs w:val="30"/>
        </w:rPr>
        <w:t>4</w:t>
      </w:r>
      <w:r>
        <w:rPr>
          <w:rFonts w:hint="eastAsia"/>
          <w:sz w:val="30"/>
          <w:szCs w:val="30"/>
        </w:rPr>
        <w:t>、医院并未按照院感管理的国家规定，对患者进行隔离治疗，对于患者的感染具有过错。</w:t>
      </w:r>
      <w:r>
        <w:rPr>
          <w:rFonts w:hint="eastAsia"/>
          <w:sz w:val="30"/>
          <w:szCs w:val="30"/>
        </w:rPr>
        <w:t>5</w:t>
      </w:r>
      <w:r>
        <w:rPr>
          <w:rFonts w:hint="eastAsia"/>
          <w:sz w:val="30"/>
          <w:szCs w:val="30"/>
        </w:rPr>
        <w:t>、鉴定遗漏其他重要事项。鉴定对于是否存在过度用药、过度治疗的问题未作出回应。</w:t>
      </w:r>
      <w:r>
        <w:rPr>
          <w:rFonts w:hint="eastAsia"/>
          <w:sz w:val="30"/>
          <w:szCs w:val="30"/>
        </w:rPr>
        <w:t>6</w:t>
      </w:r>
      <w:r>
        <w:rPr>
          <w:rFonts w:hint="eastAsia"/>
          <w:sz w:val="30"/>
          <w:szCs w:val="30"/>
        </w:rPr>
        <w:t>、对于医院伪造病历未记录以及进行鉴定，导致鉴定报告未能对当期诊疗行为进行完整评判。</w:t>
      </w:r>
      <w:r>
        <w:rPr>
          <w:rFonts w:hint="eastAsia"/>
          <w:sz w:val="30"/>
          <w:szCs w:val="30"/>
        </w:rPr>
        <w:t>7</w:t>
      </w:r>
      <w:r>
        <w:rPr>
          <w:rFonts w:hint="eastAsia"/>
          <w:sz w:val="30"/>
          <w:szCs w:val="30"/>
        </w:rPr>
        <w:t>、一、二审法院判决对于</w:t>
      </w:r>
      <w:r>
        <w:rPr>
          <w:rFonts w:hint="eastAsia"/>
          <w:sz w:val="30"/>
          <w:szCs w:val="30"/>
        </w:rPr>
        <w:t>23</w:t>
      </w:r>
      <w:r>
        <w:rPr>
          <w:rFonts w:hint="eastAsia"/>
          <w:sz w:val="30"/>
          <w:szCs w:val="30"/>
        </w:rPr>
        <w:t>日已经进行抗心衰治疗的认定违反证据规则。</w:t>
      </w:r>
      <w:r>
        <w:rPr>
          <w:rFonts w:hint="eastAsia"/>
          <w:sz w:val="30"/>
          <w:szCs w:val="30"/>
        </w:rPr>
        <w:t>8</w:t>
      </w:r>
      <w:r>
        <w:rPr>
          <w:rFonts w:hint="eastAsia"/>
          <w:sz w:val="30"/>
          <w:szCs w:val="30"/>
        </w:rPr>
        <w:t>、对于患者存在超级细菌感染医院未对症用药，对于医院的该项过错未鉴定。</w:t>
      </w:r>
      <w:r>
        <w:rPr>
          <w:rFonts w:hint="eastAsia"/>
          <w:sz w:val="30"/>
          <w:szCs w:val="30"/>
        </w:rPr>
        <w:t>9</w:t>
      </w:r>
      <w:r>
        <w:rPr>
          <w:rFonts w:hint="eastAsia"/>
          <w:sz w:val="30"/>
          <w:szCs w:val="30"/>
        </w:rPr>
        <w:t>、</w:t>
      </w:r>
      <w:r>
        <w:rPr>
          <w:rFonts w:hint="eastAsia"/>
          <w:sz w:val="30"/>
          <w:szCs w:val="30"/>
        </w:rPr>
        <w:t>23</w:t>
      </w:r>
      <w:r>
        <w:rPr>
          <w:rFonts w:hint="eastAsia"/>
          <w:sz w:val="30"/>
          <w:szCs w:val="30"/>
        </w:rPr>
        <w:t>日中午医院未执行危急值报告管理制度，未履行告知转诊义务</w:t>
      </w:r>
      <w:r>
        <w:rPr>
          <w:rFonts w:hint="eastAsia"/>
          <w:sz w:val="30"/>
          <w:szCs w:val="30"/>
        </w:rPr>
        <w:t>。</w:t>
      </w:r>
      <w:r>
        <w:rPr>
          <w:rFonts w:hint="eastAsia"/>
          <w:sz w:val="30"/>
          <w:szCs w:val="30"/>
        </w:rPr>
        <w:t>10</w:t>
      </w:r>
      <w:r>
        <w:rPr>
          <w:rFonts w:hint="eastAsia"/>
          <w:sz w:val="30"/>
          <w:szCs w:val="30"/>
        </w:rPr>
        <w:t>、医院未执行</w:t>
      </w:r>
      <w:r>
        <w:rPr>
          <w:rFonts w:hint="eastAsia"/>
          <w:sz w:val="30"/>
          <w:szCs w:val="30"/>
        </w:rPr>
        <w:lastRenderedPageBreak/>
        <w:t>19</w:t>
      </w:r>
      <w:r>
        <w:rPr>
          <w:rFonts w:hint="eastAsia"/>
          <w:sz w:val="30"/>
          <w:szCs w:val="30"/>
        </w:rPr>
        <w:t>日科室会诊意见，包括未及时更换粗管、未采纳其他会诊意见，造成患者身体损害以及与患者最终不治之间的因果关系，鉴定报告与一、二审法院不予认定错误；</w:t>
      </w:r>
      <w:r>
        <w:rPr>
          <w:rFonts w:hint="eastAsia"/>
          <w:sz w:val="30"/>
          <w:szCs w:val="30"/>
        </w:rPr>
        <w:t>11</w:t>
      </w:r>
      <w:r>
        <w:rPr>
          <w:rFonts w:hint="eastAsia"/>
          <w:sz w:val="30"/>
          <w:szCs w:val="30"/>
        </w:rPr>
        <w:t>、患方经医院许可持有病历与医院拒不提供其余病历记录之间无因果关系。</w:t>
      </w:r>
      <w:r>
        <w:rPr>
          <w:rFonts w:hint="eastAsia"/>
          <w:sz w:val="30"/>
          <w:szCs w:val="30"/>
        </w:rPr>
        <w:t>12</w:t>
      </w:r>
      <w:r>
        <w:rPr>
          <w:rFonts w:hint="eastAsia"/>
          <w:sz w:val="30"/>
          <w:szCs w:val="30"/>
        </w:rPr>
        <w:t>、一、二审法院遗漏追究医院主要过错，医院承当责任比例太低。</w:t>
      </w:r>
      <w:r>
        <w:rPr>
          <w:rFonts w:hint="eastAsia"/>
          <w:sz w:val="30"/>
          <w:szCs w:val="30"/>
        </w:rPr>
        <w:t>13</w:t>
      </w:r>
      <w:r>
        <w:rPr>
          <w:rFonts w:hint="eastAsia"/>
          <w:sz w:val="30"/>
          <w:szCs w:val="30"/>
        </w:rPr>
        <w:t>、两份鉴定报告结论并不矛盾，均可以参照，本案应当追究医院的全部责任。综上，请求对本案提起再审，改判支持申请人一审的全部诉讼请求。</w:t>
      </w:r>
    </w:p>
    <w:p w:rsidR="00000000" w:rsidRDefault="00F61F13">
      <w:pPr>
        <w:spacing w:line="500" w:lineRule="atLeast"/>
        <w:ind w:firstLine="600"/>
        <w:divId w:val="270433792"/>
        <w:rPr>
          <w:rFonts w:hint="eastAsia"/>
          <w:sz w:val="30"/>
          <w:szCs w:val="30"/>
        </w:rPr>
      </w:pPr>
      <w:r>
        <w:rPr>
          <w:rFonts w:hint="eastAsia"/>
          <w:sz w:val="30"/>
          <w:szCs w:val="30"/>
        </w:rPr>
        <w:t>本院经审查认为，根据《最高人民法院关于适</w:t>
      </w:r>
      <w:r>
        <w:rPr>
          <w:rFonts w:hint="eastAsia"/>
          <w:sz w:val="30"/>
          <w:szCs w:val="30"/>
        </w:rPr>
        <w:t>用</w:t>
      </w:r>
      <w:r>
        <w:rPr>
          <w:rFonts w:hint="eastAsia"/>
          <w:sz w:val="30"/>
          <w:szCs w:val="30"/>
        </w:rPr>
        <w:t>的解释》第九十条规定，当事人对自己提出的</w:t>
      </w:r>
      <w:r>
        <w:rPr>
          <w:rFonts w:hint="eastAsia"/>
          <w:sz w:val="30"/>
          <w:szCs w:val="30"/>
        </w:rPr>
        <w:t>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p w:rsidR="00000000" w:rsidRDefault="00F61F13">
      <w:pPr>
        <w:spacing w:line="500" w:lineRule="atLeast"/>
        <w:ind w:firstLine="600"/>
        <w:divId w:val="1737051539"/>
        <w:rPr>
          <w:rFonts w:hint="eastAsia"/>
          <w:sz w:val="30"/>
          <w:szCs w:val="30"/>
        </w:rPr>
      </w:pPr>
      <w:r>
        <w:rPr>
          <w:rFonts w:hint="eastAsia"/>
          <w:sz w:val="30"/>
          <w:szCs w:val="30"/>
        </w:rPr>
        <w:t>本案中，根据一、二审法院查明事实，本案医疗纠纷经苏州市医学会鉴定后，赵云侠不服，要求再次鉴定。苏州市卫生和计划生育委员会委托江苏省医学会对赵金儒医疗事故争议进行再次技术鉴定。</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日，江苏省医学会作出江苏医鉴</w:t>
      </w:r>
      <w:r>
        <w:rPr>
          <w:rFonts w:hint="eastAsia"/>
          <w:sz w:val="30"/>
          <w:szCs w:val="30"/>
        </w:rPr>
        <w:t>[2016]063</w:t>
      </w:r>
      <w:r>
        <w:rPr>
          <w:rFonts w:hint="eastAsia"/>
          <w:sz w:val="30"/>
          <w:szCs w:val="30"/>
        </w:rPr>
        <w:t>号医疗事故技术鉴定书，鉴定结论认为，根据《医疗事故处理条例》第二条、</w:t>
      </w:r>
      <w:r>
        <w:rPr>
          <w:rFonts w:hint="eastAsia"/>
          <w:sz w:val="30"/>
          <w:szCs w:val="30"/>
        </w:rPr>
        <w:t>第四条、《医疗事故分级标准（试行〉》、《医疗事故技术鉴定暂行办法》第三十六条，本病例属于一级甲等医疗事故，医方承担轻微责任。赵云侠对该鉴定书仍有异议，要求补充鉴定，后江苏省医学会于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作出《关于赵金儒与苏州市吴中人民医院医疗事故争议再次技术鉴定的答复函》，针对赵云侠提出的异议进行了答复。江苏省医学会鉴定程序合法，一、二审法院采信江苏省医学会出具的鉴定结论证明效力并无不当。申请人主张该鉴定报</w:t>
      </w:r>
      <w:r>
        <w:rPr>
          <w:rFonts w:hint="eastAsia"/>
          <w:sz w:val="30"/>
          <w:szCs w:val="30"/>
        </w:rPr>
        <w:lastRenderedPageBreak/>
        <w:t>告的结论不应予以采信依据并不充分，对其主张本院不予支持，且根据《最高人民法院关于适</w:t>
      </w:r>
      <w:r>
        <w:rPr>
          <w:rFonts w:hint="eastAsia"/>
          <w:sz w:val="30"/>
          <w:szCs w:val="30"/>
        </w:rPr>
        <w:t>用</w:t>
      </w:r>
      <w:r>
        <w:rPr>
          <w:rFonts w:hint="eastAsia"/>
          <w:sz w:val="30"/>
          <w:szCs w:val="30"/>
        </w:rPr>
        <w:t>的解释》第三百九十九</w:t>
      </w:r>
      <w:r>
        <w:rPr>
          <w:rFonts w:hint="eastAsia"/>
          <w:sz w:val="30"/>
          <w:szCs w:val="30"/>
        </w:rPr>
        <w:t>条之规定，审查再审申请期间，再审申请人申请人民法院委托鉴定、勘验的，人民法院不予准许。</w:t>
      </w:r>
    </w:p>
    <w:p w:rsidR="00000000" w:rsidRDefault="00F61F13">
      <w:pPr>
        <w:spacing w:line="500" w:lineRule="atLeast"/>
        <w:ind w:firstLine="600"/>
        <w:divId w:val="841897153"/>
        <w:rPr>
          <w:rFonts w:hint="eastAsia"/>
          <w:sz w:val="30"/>
          <w:szCs w:val="30"/>
        </w:rPr>
      </w:pPr>
      <w:r>
        <w:rPr>
          <w:rFonts w:hint="eastAsia"/>
          <w:sz w:val="30"/>
          <w:szCs w:val="30"/>
        </w:rPr>
        <w:t>江苏省医学会鉴定结论的分析意见认为，根据患者入院前</w:t>
      </w:r>
      <w:r>
        <w:rPr>
          <w:rFonts w:hint="eastAsia"/>
          <w:sz w:val="30"/>
          <w:szCs w:val="30"/>
        </w:rPr>
        <w:t>4</w:t>
      </w:r>
      <w:r>
        <w:rPr>
          <w:rFonts w:hint="eastAsia"/>
          <w:sz w:val="30"/>
          <w:szCs w:val="30"/>
        </w:rPr>
        <w:t>天出现左侧肢体无力，入院当天出现右侧肢体无力，入院时体检存在四肢瘫痪的体征，结合头颅</w:t>
      </w:r>
      <w:r>
        <w:rPr>
          <w:rFonts w:hint="eastAsia"/>
          <w:sz w:val="30"/>
          <w:szCs w:val="30"/>
        </w:rPr>
        <w:t>CT</w:t>
      </w:r>
      <w:r>
        <w:rPr>
          <w:rFonts w:hint="eastAsia"/>
          <w:sz w:val="30"/>
          <w:szCs w:val="30"/>
        </w:rPr>
        <w:t>检查示双侧丘脑梗死，目前临床推断该患者系基底动脉顶端闭塞所致基尖综合征（脑梗塞的一种类型）的可能性较大。临床实践中此类患者常常存在球麻痹，极易出现误吸而并发肺部感染；结合患者高龄，自身存在糖尿病、高血压等基础疾病，感染则更加难以控制；病程进展迅速，多脏器功能衰竭的出现将难以避免，故患</w:t>
      </w:r>
      <w:r>
        <w:rPr>
          <w:rFonts w:hint="eastAsia"/>
          <w:sz w:val="30"/>
          <w:szCs w:val="30"/>
        </w:rPr>
        <w:t>者的最终结局应主要与自身疾病的严重性及其自然转归存在相关性。考虑江苏省医学会关于本病例属于一级甲等医疗事故，医方承担轻微责任的鉴定结论以及一、二审法院查明吴中医院的其他过错行为，一、二审法院在鉴定意见认定轻微责任基础上酌定吴中医院承担</w:t>
      </w:r>
      <w:r>
        <w:rPr>
          <w:rFonts w:hint="eastAsia"/>
          <w:sz w:val="30"/>
          <w:szCs w:val="30"/>
        </w:rPr>
        <w:t>30%</w:t>
      </w:r>
      <w:r>
        <w:rPr>
          <w:rFonts w:hint="eastAsia"/>
          <w:sz w:val="30"/>
          <w:szCs w:val="30"/>
        </w:rPr>
        <w:t>的赔偿责任，经本院审查一、二审法院并未存在滥用自由裁量权的情形，一、二审法院判决结果正确，本案不符合民事诉讼法第二百条进入再审的情形。</w:t>
      </w:r>
    </w:p>
    <w:p w:rsidR="00000000" w:rsidRDefault="00F61F13">
      <w:pPr>
        <w:spacing w:line="500" w:lineRule="atLeast"/>
        <w:ind w:firstLine="600"/>
        <w:divId w:val="163400343"/>
        <w:rPr>
          <w:rFonts w:hint="eastAsia"/>
          <w:sz w:val="30"/>
          <w:szCs w:val="30"/>
        </w:rPr>
      </w:pPr>
      <w:r>
        <w:rPr>
          <w:rFonts w:hint="eastAsia"/>
          <w:sz w:val="30"/>
          <w:szCs w:val="30"/>
        </w:rPr>
        <w:t>综上，依照《中华人民共和国民事诉讼法》第二百零四条第一款，《最高人民法院关于适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F61F13">
      <w:pPr>
        <w:spacing w:line="500" w:lineRule="atLeast"/>
        <w:ind w:firstLine="600"/>
        <w:divId w:val="760298084"/>
        <w:rPr>
          <w:rFonts w:hint="eastAsia"/>
          <w:sz w:val="30"/>
          <w:szCs w:val="30"/>
        </w:rPr>
      </w:pPr>
      <w:r>
        <w:rPr>
          <w:rFonts w:hint="eastAsia"/>
          <w:sz w:val="30"/>
          <w:szCs w:val="30"/>
        </w:rPr>
        <w:t>驳回赵云侠</w:t>
      </w:r>
      <w:r>
        <w:rPr>
          <w:rFonts w:hint="eastAsia"/>
          <w:sz w:val="30"/>
          <w:szCs w:val="30"/>
        </w:rPr>
        <w:t>的再审申请。</w:t>
      </w:r>
    </w:p>
    <w:p w:rsidR="00000000" w:rsidRDefault="00F61F13">
      <w:pPr>
        <w:spacing w:line="500" w:lineRule="atLeast"/>
        <w:jc w:val="right"/>
        <w:divId w:val="446781178"/>
        <w:rPr>
          <w:rFonts w:hint="eastAsia"/>
          <w:sz w:val="30"/>
          <w:szCs w:val="30"/>
        </w:rPr>
      </w:pPr>
      <w:r>
        <w:rPr>
          <w:rFonts w:hint="eastAsia"/>
          <w:sz w:val="30"/>
          <w:szCs w:val="30"/>
        </w:rPr>
        <w:t>审判长　高　洪</w:t>
      </w:r>
    </w:p>
    <w:p w:rsidR="00000000" w:rsidRDefault="00F61F13">
      <w:pPr>
        <w:spacing w:line="500" w:lineRule="atLeast"/>
        <w:jc w:val="right"/>
        <w:divId w:val="1650087207"/>
        <w:rPr>
          <w:rFonts w:hint="eastAsia"/>
          <w:sz w:val="30"/>
          <w:szCs w:val="30"/>
        </w:rPr>
      </w:pPr>
      <w:r>
        <w:rPr>
          <w:rFonts w:hint="eastAsia"/>
          <w:sz w:val="30"/>
          <w:szCs w:val="30"/>
        </w:rPr>
        <w:t>审判员　杨　雷</w:t>
      </w:r>
    </w:p>
    <w:p w:rsidR="00000000" w:rsidRDefault="00F61F13">
      <w:pPr>
        <w:spacing w:line="500" w:lineRule="atLeast"/>
        <w:jc w:val="right"/>
        <w:divId w:val="1709572797"/>
        <w:rPr>
          <w:rFonts w:hint="eastAsia"/>
          <w:sz w:val="30"/>
          <w:szCs w:val="30"/>
        </w:rPr>
      </w:pPr>
      <w:r>
        <w:rPr>
          <w:rFonts w:hint="eastAsia"/>
          <w:sz w:val="30"/>
          <w:szCs w:val="30"/>
        </w:rPr>
        <w:t>审判员　闫　朋</w:t>
      </w:r>
    </w:p>
    <w:p w:rsidR="00000000" w:rsidRDefault="00F61F13">
      <w:pPr>
        <w:spacing w:line="500" w:lineRule="atLeast"/>
        <w:jc w:val="right"/>
        <w:divId w:val="532807985"/>
        <w:rPr>
          <w:rFonts w:hint="eastAsia"/>
          <w:sz w:val="30"/>
          <w:szCs w:val="30"/>
        </w:rPr>
      </w:pPr>
      <w:r>
        <w:rPr>
          <w:rFonts w:hint="eastAsia"/>
          <w:sz w:val="30"/>
          <w:szCs w:val="30"/>
        </w:rPr>
        <w:t>二〇二一年四月二十七日</w:t>
      </w:r>
    </w:p>
    <w:p w:rsidR="00000000" w:rsidRDefault="00F61F13">
      <w:pPr>
        <w:spacing w:line="500" w:lineRule="atLeast"/>
        <w:jc w:val="right"/>
        <w:divId w:val="1091660652"/>
        <w:rPr>
          <w:rFonts w:hint="eastAsia"/>
          <w:sz w:val="30"/>
          <w:szCs w:val="30"/>
        </w:rPr>
      </w:pPr>
      <w:r>
        <w:rPr>
          <w:rFonts w:hint="eastAsia"/>
          <w:sz w:val="30"/>
          <w:szCs w:val="30"/>
        </w:rPr>
        <w:t>书记员　汪亚玲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F13" w:rsidRDefault="00F61F13" w:rsidP="00F61F13">
      <w:r>
        <w:separator/>
      </w:r>
    </w:p>
  </w:endnote>
  <w:endnote w:type="continuationSeparator" w:id="0">
    <w:p w:rsidR="00F61F13" w:rsidRDefault="00F61F13" w:rsidP="00F6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F13" w:rsidRDefault="00F61F13" w:rsidP="00F61F13">
      <w:r>
        <w:separator/>
      </w:r>
    </w:p>
  </w:footnote>
  <w:footnote w:type="continuationSeparator" w:id="0">
    <w:p w:rsidR="00F61F13" w:rsidRDefault="00F61F13" w:rsidP="00F61F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1F13"/>
    <w:rsid w:val="00F61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1F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1F13"/>
    <w:rPr>
      <w:rFonts w:ascii="宋体" w:eastAsia="宋体" w:hAnsi="宋体" w:cs="宋体"/>
      <w:sz w:val="18"/>
      <w:szCs w:val="18"/>
    </w:rPr>
  </w:style>
  <w:style w:type="paragraph" w:styleId="a5">
    <w:name w:val="footer"/>
    <w:basedOn w:val="a"/>
    <w:link w:val="a6"/>
    <w:uiPriority w:val="99"/>
    <w:unhideWhenUsed/>
    <w:rsid w:val="00F61F13"/>
    <w:pPr>
      <w:tabs>
        <w:tab w:val="center" w:pos="4153"/>
        <w:tab w:val="right" w:pos="8306"/>
      </w:tabs>
      <w:snapToGrid w:val="0"/>
    </w:pPr>
    <w:rPr>
      <w:sz w:val="18"/>
      <w:szCs w:val="18"/>
    </w:rPr>
  </w:style>
  <w:style w:type="character" w:customStyle="1" w:styleId="a6">
    <w:name w:val="页脚 字符"/>
    <w:basedOn w:val="a0"/>
    <w:link w:val="a5"/>
    <w:uiPriority w:val="99"/>
    <w:rsid w:val="00F61F1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00343">
      <w:marLeft w:val="0"/>
      <w:marRight w:val="0"/>
      <w:marTop w:val="10"/>
      <w:marBottom w:val="10"/>
      <w:divBdr>
        <w:top w:val="none" w:sz="0" w:space="0" w:color="auto"/>
        <w:left w:val="none" w:sz="0" w:space="0" w:color="auto"/>
        <w:bottom w:val="none" w:sz="0" w:space="0" w:color="auto"/>
        <w:right w:val="none" w:sz="0" w:space="0" w:color="auto"/>
      </w:divBdr>
    </w:div>
    <w:div w:id="270433792">
      <w:marLeft w:val="0"/>
      <w:marRight w:val="0"/>
      <w:marTop w:val="10"/>
      <w:marBottom w:val="10"/>
      <w:divBdr>
        <w:top w:val="none" w:sz="0" w:space="0" w:color="auto"/>
        <w:left w:val="none" w:sz="0" w:space="0" w:color="auto"/>
        <w:bottom w:val="none" w:sz="0" w:space="0" w:color="auto"/>
        <w:right w:val="none" w:sz="0" w:space="0" w:color="auto"/>
      </w:divBdr>
    </w:div>
    <w:div w:id="327100896">
      <w:marLeft w:val="0"/>
      <w:marRight w:val="0"/>
      <w:marTop w:val="10"/>
      <w:marBottom w:val="10"/>
      <w:divBdr>
        <w:top w:val="none" w:sz="0" w:space="0" w:color="auto"/>
        <w:left w:val="none" w:sz="0" w:space="0" w:color="auto"/>
        <w:bottom w:val="none" w:sz="0" w:space="0" w:color="auto"/>
        <w:right w:val="none" w:sz="0" w:space="0" w:color="auto"/>
      </w:divBdr>
    </w:div>
    <w:div w:id="446781178">
      <w:marLeft w:val="0"/>
      <w:marRight w:val="720"/>
      <w:marTop w:val="10"/>
      <w:marBottom w:val="10"/>
      <w:divBdr>
        <w:top w:val="none" w:sz="0" w:space="0" w:color="auto"/>
        <w:left w:val="none" w:sz="0" w:space="0" w:color="auto"/>
        <w:bottom w:val="none" w:sz="0" w:space="0" w:color="auto"/>
        <w:right w:val="none" w:sz="0" w:space="0" w:color="auto"/>
      </w:divBdr>
    </w:div>
    <w:div w:id="489761255">
      <w:marLeft w:val="0"/>
      <w:marRight w:val="0"/>
      <w:marTop w:val="10"/>
      <w:marBottom w:val="10"/>
      <w:divBdr>
        <w:top w:val="none" w:sz="0" w:space="0" w:color="auto"/>
        <w:left w:val="none" w:sz="0" w:space="0" w:color="auto"/>
        <w:bottom w:val="none" w:sz="0" w:space="0" w:color="auto"/>
        <w:right w:val="none" w:sz="0" w:space="0" w:color="auto"/>
      </w:divBdr>
    </w:div>
    <w:div w:id="532807985">
      <w:marLeft w:val="0"/>
      <w:marRight w:val="720"/>
      <w:marTop w:val="10"/>
      <w:marBottom w:val="10"/>
      <w:divBdr>
        <w:top w:val="none" w:sz="0" w:space="0" w:color="auto"/>
        <w:left w:val="none" w:sz="0" w:space="0" w:color="auto"/>
        <w:bottom w:val="none" w:sz="0" w:space="0" w:color="auto"/>
        <w:right w:val="none" w:sz="0" w:space="0" w:color="auto"/>
      </w:divBdr>
    </w:div>
    <w:div w:id="601496160">
      <w:marLeft w:val="0"/>
      <w:marRight w:val="0"/>
      <w:marTop w:val="10"/>
      <w:marBottom w:val="10"/>
      <w:divBdr>
        <w:top w:val="none" w:sz="0" w:space="0" w:color="auto"/>
        <w:left w:val="none" w:sz="0" w:space="0" w:color="auto"/>
        <w:bottom w:val="none" w:sz="0" w:space="0" w:color="auto"/>
        <w:right w:val="none" w:sz="0" w:space="0" w:color="auto"/>
      </w:divBdr>
    </w:div>
    <w:div w:id="760298084">
      <w:marLeft w:val="0"/>
      <w:marRight w:val="0"/>
      <w:marTop w:val="10"/>
      <w:marBottom w:val="10"/>
      <w:divBdr>
        <w:top w:val="none" w:sz="0" w:space="0" w:color="auto"/>
        <w:left w:val="none" w:sz="0" w:space="0" w:color="auto"/>
        <w:bottom w:val="none" w:sz="0" w:space="0" w:color="auto"/>
        <w:right w:val="none" w:sz="0" w:space="0" w:color="auto"/>
      </w:divBdr>
    </w:div>
    <w:div w:id="841897153">
      <w:marLeft w:val="0"/>
      <w:marRight w:val="0"/>
      <w:marTop w:val="10"/>
      <w:marBottom w:val="10"/>
      <w:divBdr>
        <w:top w:val="none" w:sz="0" w:space="0" w:color="auto"/>
        <w:left w:val="none" w:sz="0" w:space="0" w:color="auto"/>
        <w:bottom w:val="none" w:sz="0" w:space="0" w:color="auto"/>
        <w:right w:val="none" w:sz="0" w:space="0" w:color="auto"/>
      </w:divBdr>
    </w:div>
    <w:div w:id="1091660652">
      <w:marLeft w:val="0"/>
      <w:marRight w:val="720"/>
      <w:marTop w:val="10"/>
      <w:marBottom w:val="10"/>
      <w:divBdr>
        <w:top w:val="none" w:sz="0" w:space="0" w:color="auto"/>
        <w:left w:val="none" w:sz="0" w:space="0" w:color="auto"/>
        <w:bottom w:val="none" w:sz="0" w:space="0" w:color="auto"/>
        <w:right w:val="none" w:sz="0" w:space="0" w:color="auto"/>
      </w:divBdr>
    </w:div>
    <w:div w:id="1471480773">
      <w:marLeft w:val="0"/>
      <w:marRight w:val="0"/>
      <w:marTop w:val="10"/>
      <w:marBottom w:val="10"/>
      <w:divBdr>
        <w:top w:val="none" w:sz="0" w:space="0" w:color="auto"/>
        <w:left w:val="none" w:sz="0" w:space="0" w:color="auto"/>
        <w:bottom w:val="none" w:sz="0" w:space="0" w:color="auto"/>
        <w:right w:val="none" w:sz="0" w:space="0" w:color="auto"/>
      </w:divBdr>
    </w:div>
    <w:div w:id="1505822707">
      <w:marLeft w:val="0"/>
      <w:marRight w:val="0"/>
      <w:marTop w:val="10"/>
      <w:marBottom w:val="10"/>
      <w:divBdr>
        <w:top w:val="none" w:sz="0" w:space="0" w:color="auto"/>
        <w:left w:val="none" w:sz="0" w:space="0" w:color="auto"/>
        <w:bottom w:val="none" w:sz="0" w:space="0" w:color="auto"/>
        <w:right w:val="none" w:sz="0" w:space="0" w:color="auto"/>
      </w:divBdr>
    </w:div>
    <w:div w:id="1566187421">
      <w:marLeft w:val="0"/>
      <w:marRight w:val="0"/>
      <w:marTop w:val="10"/>
      <w:marBottom w:val="10"/>
      <w:divBdr>
        <w:top w:val="none" w:sz="0" w:space="0" w:color="auto"/>
        <w:left w:val="none" w:sz="0" w:space="0" w:color="auto"/>
        <w:bottom w:val="none" w:sz="0" w:space="0" w:color="auto"/>
        <w:right w:val="none" w:sz="0" w:space="0" w:color="auto"/>
      </w:divBdr>
    </w:div>
    <w:div w:id="1650087207">
      <w:marLeft w:val="0"/>
      <w:marRight w:val="720"/>
      <w:marTop w:val="10"/>
      <w:marBottom w:val="10"/>
      <w:divBdr>
        <w:top w:val="none" w:sz="0" w:space="0" w:color="auto"/>
        <w:left w:val="none" w:sz="0" w:space="0" w:color="auto"/>
        <w:bottom w:val="none" w:sz="0" w:space="0" w:color="auto"/>
        <w:right w:val="none" w:sz="0" w:space="0" w:color="auto"/>
      </w:divBdr>
    </w:div>
    <w:div w:id="1685981110">
      <w:marLeft w:val="0"/>
      <w:marRight w:val="0"/>
      <w:marTop w:val="10"/>
      <w:marBottom w:val="10"/>
      <w:divBdr>
        <w:top w:val="none" w:sz="0" w:space="0" w:color="auto"/>
        <w:left w:val="none" w:sz="0" w:space="0" w:color="auto"/>
        <w:bottom w:val="none" w:sz="0" w:space="0" w:color="auto"/>
        <w:right w:val="none" w:sz="0" w:space="0" w:color="auto"/>
      </w:divBdr>
    </w:div>
    <w:div w:id="1709572797">
      <w:marLeft w:val="0"/>
      <w:marRight w:val="720"/>
      <w:marTop w:val="10"/>
      <w:marBottom w:val="10"/>
      <w:divBdr>
        <w:top w:val="none" w:sz="0" w:space="0" w:color="auto"/>
        <w:left w:val="none" w:sz="0" w:space="0" w:color="auto"/>
        <w:bottom w:val="none" w:sz="0" w:space="0" w:color="auto"/>
        <w:right w:val="none" w:sz="0" w:space="0" w:color="auto"/>
      </w:divBdr>
    </w:div>
    <w:div w:id="1737051539">
      <w:marLeft w:val="0"/>
      <w:marRight w:val="0"/>
      <w:marTop w:val="10"/>
      <w:marBottom w:val="10"/>
      <w:divBdr>
        <w:top w:val="none" w:sz="0" w:space="0" w:color="auto"/>
        <w:left w:val="none" w:sz="0" w:space="0" w:color="auto"/>
        <w:bottom w:val="none" w:sz="0" w:space="0" w:color="auto"/>
        <w:right w:val="none" w:sz="0" w:space="0" w:color="auto"/>
      </w:divBdr>
    </w:div>
    <w:div w:id="20225878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