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40B2A">
      <w:pPr>
        <w:spacing w:line="500" w:lineRule="atLeast"/>
        <w:jc w:val="center"/>
        <w:divId w:val="1592854648"/>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F40B2A">
      <w:pPr>
        <w:spacing w:line="500" w:lineRule="atLeast"/>
        <w:jc w:val="center"/>
        <w:divId w:val="19540472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40B2A">
      <w:pPr>
        <w:spacing w:line="500" w:lineRule="atLeast"/>
        <w:jc w:val="right"/>
        <w:divId w:val="1371420606"/>
        <w:rPr>
          <w:rFonts w:hint="eastAsia"/>
          <w:sz w:val="30"/>
          <w:szCs w:val="30"/>
        </w:rPr>
      </w:pPr>
      <w:r>
        <w:rPr>
          <w:rFonts w:hint="eastAsia"/>
          <w:sz w:val="30"/>
          <w:szCs w:val="30"/>
        </w:rPr>
        <w:t>（</w:t>
      </w:r>
      <w:r>
        <w:rPr>
          <w:rFonts w:hint="eastAsia"/>
          <w:sz w:val="30"/>
          <w:szCs w:val="30"/>
        </w:rPr>
        <w:t>2020</w:t>
      </w:r>
      <w:r>
        <w:rPr>
          <w:rFonts w:hint="eastAsia"/>
          <w:sz w:val="30"/>
          <w:szCs w:val="30"/>
        </w:rPr>
        <w:t>）苏民申</w:t>
      </w:r>
      <w:r>
        <w:rPr>
          <w:rFonts w:hint="eastAsia"/>
          <w:sz w:val="30"/>
          <w:szCs w:val="30"/>
        </w:rPr>
        <w:t>458</w:t>
      </w:r>
      <w:r>
        <w:rPr>
          <w:rFonts w:hint="eastAsia"/>
          <w:sz w:val="30"/>
          <w:szCs w:val="30"/>
        </w:rPr>
        <w:t>号</w:t>
      </w:r>
    </w:p>
    <w:p w:rsidR="00000000" w:rsidRDefault="00F40B2A">
      <w:pPr>
        <w:spacing w:line="500" w:lineRule="atLeast"/>
        <w:ind w:firstLine="600"/>
        <w:divId w:val="2101902729"/>
        <w:rPr>
          <w:rFonts w:hint="eastAsia"/>
          <w:sz w:val="30"/>
          <w:szCs w:val="30"/>
        </w:rPr>
      </w:pPr>
      <w:r>
        <w:rPr>
          <w:rFonts w:hint="eastAsia"/>
          <w:sz w:val="30"/>
          <w:szCs w:val="30"/>
        </w:rPr>
        <w:t>再审申请人（一审原告、二审上诉人）：赵加花，女。</w:t>
      </w:r>
    </w:p>
    <w:p w:rsidR="00000000" w:rsidRDefault="00F40B2A">
      <w:pPr>
        <w:spacing w:line="500" w:lineRule="atLeast"/>
        <w:ind w:firstLine="600"/>
        <w:divId w:val="611522981"/>
        <w:rPr>
          <w:rFonts w:hint="eastAsia"/>
          <w:sz w:val="30"/>
          <w:szCs w:val="30"/>
        </w:rPr>
      </w:pPr>
      <w:r>
        <w:rPr>
          <w:rFonts w:hint="eastAsia"/>
          <w:sz w:val="30"/>
          <w:szCs w:val="30"/>
        </w:rPr>
        <w:t>再审申请人（一审原告、二审上诉人）：陈立科，男。</w:t>
      </w:r>
    </w:p>
    <w:p w:rsidR="00000000" w:rsidRDefault="00F40B2A">
      <w:pPr>
        <w:spacing w:line="500" w:lineRule="atLeast"/>
        <w:ind w:firstLine="600"/>
        <w:divId w:val="1846699308"/>
        <w:rPr>
          <w:rFonts w:hint="eastAsia"/>
          <w:sz w:val="30"/>
          <w:szCs w:val="30"/>
        </w:rPr>
      </w:pPr>
      <w:r>
        <w:rPr>
          <w:rFonts w:hint="eastAsia"/>
          <w:sz w:val="30"/>
          <w:szCs w:val="30"/>
        </w:rPr>
        <w:t>再审申请人（一审原告、二审上诉人）：陈真，男。</w:t>
      </w:r>
    </w:p>
    <w:p w:rsidR="00000000" w:rsidRDefault="00F40B2A">
      <w:pPr>
        <w:spacing w:line="500" w:lineRule="atLeast"/>
        <w:ind w:firstLine="600"/>
        <w:divId w:val="1863543994"/>
        <w:rPr>
          <w:rFonts w:hint="eastAsia"/>
          <w:sz w:val="30"/>
          <w:szCs w:val="30"/>
        </w:rPr>
      </w:pPr>
      <w:r>
        <w:rPr>
          <w:rFonts w:hint="eastAsia"/>
          <w:sz w:val="30"/>
          <w:szCs w:val="30"/>
        </w:rPr>
        <w:t>以上三申请人共同委托诉讼代理人：孙卫东，男。</w:t>
      </w:r>
    </w:p>
    <w:p w:rsidR="00000000" w:rsidRDefault="00F40B2A">
      <w:pPr>
        <w:spacing w:line="500" w:lineRule="atLeast"/>
        <w:ind w:firstLine="600"/>
        <w:divId w:val="916785785"/>
        <w:rPr>
          <w:rFonts w:hint="eastAsia"/>
          <w:sz w:val="30"/>
          <w:szCs w:val="30"/>
        </w:rPr>
      </w:pPr>
      <w:r>
        <w:rPr>
          <w:rFonts w:hint="eastAsia"/>
          <w:sz w:val="30"/>
          <w:szCs w:val="30"/>
        </w:rPr>
        <w:t>被申请人（一审被告、二审被上诉人）：徐州市广慈医院，住所地江苏省新沂市北沟街道神山村。</w:t>
      </w:r>
    </w:p>
    <w:p w:rsidR="00000000" w:rsidRDefault="00F40B2A">
      <w:pPr>
        <w:spacing w:line="500" w:lineRule="atLeast"/>
        <w:ind w:firstLine="600"/>
        <w:divId w:val="1401367048"/>
        <w:rPr>
          <w:rFonts w:hint="eastAsia"/>
          <w:sz w:val="30"/>
          <w:szCs w:val="30"/>
        </w:rPr>
      </w:pPr>
      <w:r>
        <w:rPr>
          <w:rFonts w:hint="eastAsia"/>
          <w:sz w:val="30"/>
          <w:szCs w:val="30"/>
        </w:rPr>
        <w:t>法定代表人：余志刚，该院院长。</w:t>
      </w:r>
    </w:p>
    <w:p w:rsidR="00000000" w:rsidRDefault="00F40B2A">
      <w:pPr>
        <w:spacing w:line="500" w:lineRule="atLeast"/>
        <w:ind w:firstLine="600"/>
        <w:divId w:val="213856166"/>
        <w:rPr>
          <w:rFonts w:hint="eastAsia"/>
          <w:sz w:val="30"/>
          <w:szCs w:val="30"/>
        </w:rPr>
      </w:pPr>
      <w:r>
        <w:rPr>
          <w:rFonts w:hint="eastAsia"/>
          <w:sz w:val="30"/>
          <w:szCs w:val="30"/>
        </w:rPr>
        <w:t>再审申请人赵加花、陈立科、陈真因与被申请人徐州市广慈医院医疗损害责任纠纷一案，不服江苏省徐州市中级人民法院（</w:t>
      </w:r>
      <w:r>
        <w:rPr>
          <w:rFonts w:hint="eastAsia"/>
          <w:sz w:val="30"/>
          <w:szCs w:val="30"/>
        </w:rPr>
        <w:t>2017</w:t>
      </w:r>
      <w:r>
        <w:rPr>
          <w:rFonts w:hint="eastAsia"/>
          <w:sz w:val="30"/>
          <w:szCs w:val="30"/>
        </w:rPr>
        <w:t>）苏</w:t>
      </w:r>
      <w:r>
        <w:rPr>
          <w:rFonts w:hint="eastAsia"/>
          <w:sz w:val="30"/>
          <w:szCs w:val="30"/>
        </w:rPr>
        <w:t>03</w:t>
      </w:r>
      <w:r>
        <w:rPr>
          <w:rFonts w:hint="eastAsia"/>
          <w:sz w:val="30"/>
          <w:szCs w:val="30"/>
        </w:rPr>
        <w:t>民终</w:t>
      </w:r>
      <w:r>
        <w:rPr>
          <w:rFonts w:hint="eastAsia"/>
          <w:sz w:val="30"/>
          <w:szCs w:val="30"/>
        </w:rPr>
        <w:t>7969</w:t>
      </w:r>
      <w:r>
        <w:rPr>
          <w:rFonts w:hint="eastAsia"/>
          <w:sz w:val="30"/>
          <w:szCs w:val="30"/>
        </w:rPr>
        <w:t>号民事判决，向本院申请再审。本院依法组成合议庭对本案进行了审查，现已审查终结。</w:t>
      </w:r>
    </w:p>
    <w:p w:rsidR="00000000" w:rsidRDefault="00F40B2A">
      <w:pPr>
        <w:spacing w:line="500" w:lineRule="atLeast"/>
        <w:ind w:firstLine="600"/>
        <w:divId w:val="2144881214"/>
        <w:rPr>
          <w:rFonts w:hint="eastAsia"/>
          <w:sz w:val="30"/>
          <w:szCs w:val="30"/>
        </w:rPr>
      </w:pPr>
      <w:r>
        <w:rPr>
          <w:rFonts w:hint="eastAsia"/>
          <w:sz w:val="30"/>
          <w:szCs w:val="30"/>
        </w:rPr>
        <w:t>赵加花、陈立科、陈真申请再审称：</w:t>
      </w:r>
      <w:r>
        <w:rPr>
          <w:rFonts w:hint="eastAsia"/>
          <w:sz w:val="30"/>
          <w:szCs w:val="30"/>
        </w:rPr>
        <w:t>1.</w:t>
      </w:r>
      <w:r>
        <w:rPr>
          <w:rFonts w:hint="eastAsia"/>
          <w:sz w:val="30"/>
          <w:szCs w:val="30"/>
        </w:rPr>
        <w:t>一审审理期间，广慈医院提供的证据材料事先未及时封存，申请人不予认可。二审法院未依申请人申请对相关材料进行文检鉴定，不能作为证据使用。</w:t>
      </w:r>
      <w:r>
        <w:rPr>
          <w:rFonts w:hint="eastAsia"/>
          <w:sz w:val="30"/>
          <w:szCs w:val="30"/>
        </w:rPr>
        <w:t>2.</w:t>
      </w:r>
      <w:r>
        <w:rPr>
          <w:rFonts w:hint="eastAsia"/>
          <w:sz w:val="30"/>
          <w:szCs w:val="30"/>
        </w:rPr>
        <w:t>申请人从第一次起诉就申请法院派员前往多家机关单位调取案涉相关证据，以证明孙卫平未能被尸检是被申请人故意拖延所致，不能查清孙卫</w:t>
      </w:r>
      <w:r>
        <w:rPr>
          <w:rFonts w:hint="eastAsia"/>
          <w:sz w:val="30"/>
          <w:szCs w:val="30"/>
        </w:rPr>
        <w:t>平死亡原因的责任不在申请人，但一、二审法院均未前去调取，存在违法违规；申请人在二审期间还申请证人、专家辅助人等出庭作证，法院也未予理涉。</w:t>
      </w:r>
      <w:r>
        <w:rPr>
          <w:rFonts w:hint="eastAsia"/>
          <w:sz w:val="30"/>
          <w:szCs w:val="30"/>
        </w:rPr>
        <w:t>3.</w:t>
      </w:r>
      <w:r>
        <w:rPr>
          <w:rFonts w:hint="eastAsia"/>
          <w:sz w:val="30"/>
          <w:szCs w:val="30"/>
        </w:rPr>
        <w:t>法院存在程序违法，包括：二审期间申请人申请审判人员回避本案审理，徐州中院予以驳回，后又径行改由新的合议庭进行审理、裁判，新合议庭对前面回避人员的过错与问题也未予以理涉；对申请人提交的《专家论证咨询意见书》，法院未组织专家进行质证、研判，未组织双方就意见书的内容进行专业</w:t>
      </w:r>
      <w:r>
        <w:rPr>
          <w:rFonts w:hint="eastAsia"/>
          <w:sz w:val="30"/>
          <w:szCs w:val="30"/>
        </w:rPr>
        <w:lastRenderedPageBreak/>
        <w:t>性的辩论，违法违规；二审法院无正当理由超审限</w:t>
      </w:r>
      <w:r>
        <w:rPr>
          <w:rFonts w:hint="eastAsia"/>
          <w:sz w:val="30"/>
          <w:szCs w:val="30"/>
        </w:rPr>
        <w:t>13</w:t>
      </w:r>
      <w:r>
        <w:rPr>
          <w:rFonts w:hint="eastAsia"/>
          <w:sz w:val="30"/>
          <w:szCs w:val="30"/>
        </w:rPr>
        <w:t>个月，严重违法；二审期间，审判长、合议庭成员未亲自开庭或</w:t>
      </w:r>
      <w:r>
        <w:rPr>
          <w:rFonts w:hint="eastAsia"/>
          <w:sz w:val="30"/>
          <w:szCs w:val="30"/>
        </w:rPr>
        <w:t>询问；申请人方代理人在二审中申请阅卷，并请求允许拍摄照片、复印相关材料，但法院未予以准许；未依申请人申请选取省外的鉴定机构进行鉴定，在鉴定机构退鉴后未依法及时通知申请人对鉴定材料予以补正，导致又一次退鉴；在未作出并送达二审判决前，就要求申请人缴纳诉讼费等等。</w:t>
      </w:r>
    </w:p>
    <w:p w:rsidR="00000000" w:rsidRDefault="00F40B2A">
      <w:pPr>
        <w:spacing w:line="500" w:lineRule="atLeast"/>
        <w:ind w:firstLine="600"/>
        <w:divId w:val="1042091338"/>
        <w:rPr>
          <w:rFonts w:hint="eastAsia"/>
          <w:sz w:val="30"/>
          <w:szCs w:val="30"/>
        </w:rPr>
      </w:pPr>
      <w:r>
        <w:rPr>
          <w:rFonts w:hint="eastAsia"/>
          <w:sz w:val="30"/>
          <w:szCs w:val="30"/>
        </w:rPr>
        <w:t>本院经审查认为，关于广慈医院应否应承担赔偿责任的问题，《中华人民共和国侵权责任法》第五十四条规定：“患者在诊疗活动中受到损害，医疗机构及其医务人员有过错的，由医疗机构承担赔偿责任。”《最高人民法院关于审理医疗损害责任纠纷案件适用法律若干问题的解释》第四</w:t>
      </w:r>
      <w:r>
        <w:rPr>
          <w:rFonts w:hint="eastAsia"/>
          <w:sz w:val="30"/>
          <w:szCs w:val="30"/>
        </w:rPr>
        <w:t>条规定：“患者依据侵权责任法第五十四条规定主张医疗机构承担赔偿责任的，应当提交到该医疗机构就诊、受到损害的证据。患者无法提交医疗机构及其医务人员有过错、诊疗行为与损害之间具有因果关系的证据，依法提出医疗损害鉴定申请的，人民法院应予准许。医疗机构主张不承担责任的，应当就侵权责任法第六十条第一款规定情形等抗辩事由承担举证证明责任。”因此，本案中应首先由申请人提供证据证明广慈医院及吕芳玲医生存在错误诊疗行为，且该行为与孙卫平的死亡之间有因果关系。二审中，法院依申请人申请委托鉴定机构进行医疗损害鉴定，但先后委托的两</w:t>
      </w:r>
      <w:r>
        <w:rPr>
          <w:rFonts w:hint="eastAsia"/>
          <w:sz w:val="30"/>
          <w:szCs w:val="30"/>
        </w:rPr>
        <w:t>个鉴定机构均以缺乏主要检材（死亡原因），无法对鉴定事项作出准确判断为由退回鉴定。同时，根据申请人代理人在庭审中的陈述，系申请人方申请减免尸检费用未予准许，未交尸检费才导致未进行尸检，不能查明死亡原因。所以，未尸检导致无法鉴定的原因在于申请人方，申请人应承担举证不能的后果。关于申请人提供的枣庄市律通法顾问有限公</w:t>
      </w:r>
      <w:r>
        <w:rPr>
          <w:rFonts w:hint="eastAsia"/>
          <w:sz w:val="30"/>
          <w:szCs w:val="30"/>
        </w:rPr>
        <w:lastRenderedPageBreak/>
        <w:t>司出具的论证咨询意见书，因系单方提交的证据，并非专业医疗事故鉴定机构出具的鉴定意见，不能作为认定医疗事故双方责任的依据，本院不予采纳。</w:t>
      </w:r>
    </w:p>
    <w:p w:rsidR="00000000" w:rsidRDefault="00F40B2A">
      <w:pPr>
        <w:spacing w:line="500" w:lineRule="atLeast"/>
        <w:ind w:firstLine="600"/>
        <w:divId w:val="1689138688"/>
        <w:rPr>
          <w:rFonts w:hint="eastAsia"/>
          <w:sz w:val="30"/>
          <w:szCs w:val="30"/>
        </w:rPr>
      </w:pPr>
      <w:r>
        <w:rPr>
          <w:rFonts w:hint="eastAsia"/>
          <w:sz w:val="30"/>
          <w:szCs w:val="30"/>
        </w:rPr>
        <w:t>关于证据的问题，申请人提出病历材料涉嫌伪造，未经质证，不能作为认定</w:t>
      </w:r>
      <w:r>
        <w:rPr>
          <w:rFonts w:hint="eastAsia"/>
          <w:sz w:val="30"/>
          <w:szCs w:val="30"/>
        </w:rPr>
        <w:t>案件事实依据，且法院未依申请人申请调取其他相关证据。经查，法院依法组织了双方当事人对病历材料进行了质证。法院未依申请人申请进行文检鉴定，原因在于由于死亡原因无法确认，客观上已不具备查清广慈医院诊疗行为与孙卫平死亡之间是否存在因果关系的可能。法院认定“申请人一方未能举证证明被申请人广慈医院的诊疗行为与孙卫平的死亡有因果关系”在于申请人未完成初步举证责任，而非依据病例材料认为广慈医院的医疗行为不存在过错。关于申请人申请法院调取的证据，本案在客观上已无法查清广慈医院诊疗行为与孙卫平死亡之间是否存在因果关系的情况下</w:t>
      </w:r>
      <w:r>
        <w:rPr>
          <w:rFonts w:hint="eastAsia"/>
          <w:sz w:val="30"/>
          <w:szCs w:val="30"/>
        </w:rPr>
        <w:t>，申请人的申请对解决本案争议无实质意义，故法院未依申请人申请调取相关证据并无不当。</w:t>
      </w:r>
    </w:p>
    <w:p w:rsidR="00000000" w:rsidRDefault="00F40B2A">
      <w:pPr>
        <w:spacing w:line="500" w:lineRule="atLeast"/>
        <w:ind w:firstLine="600"/>
        <w:divId w:val="1023821579"/>
        <w:rPr>
          <w:rFonts w:hint="eastAsia"/>
          <w:sz w:val="30"/>
          <w:szCs w:val="30"/>
        </w:rPr>
      </w:pPr>
      <w:r>
        <w:rPr>
          <w:rFonts w:hint="eastAsia"/>
          <w:sz w:val="30"/>
          <w:szCs w:val="30"/>
        </w:rPr>
        <w:t>关于一、二审法院是否存在程序违法的问题，根据《中华人民共和国民事诉讼法》第一百四十九条的规定，人民法院适用普通程序审理的案件，应当在立案之日起六个月内审结。有特殊情况需要延长的，由本院院长批准，可以延长六个月；还需要延长的，报请上级人民法院批准。本案二审虽然超过了六个月的审理期限，但二审法院依法办理了审限变更，不存在无故超审限的情形。至于申请人主张二审法院应予回避，但申请回避的事由不属于法定回避的事由，二审法院驳回申请人的回</w:t>
      </w:r>
      <w:r>
        <w:rPr>
          <w:rFonts w:hint="eastAsia"/>
          <w:sz w:val="30"/>
          <w:szCs w:val="30"/>
        </w:rPr>
        <w:t>避申请并无不当。关于申请人主张剥夺其辩论权利的问题，《专家论证咨询意见书》并非专业医疗事故责任鉴定的机构出具的鉴定意见，法院不予组织专家论证并无不当。本案一审、二审均经过开庭、合议庭合议才做出相应判决，亦不存在未审先判的问题。申请人如认为相关审判人员涉嫌违法违规，可向纪检等相关部门反映。</w:t>
      </w:r>
    </w:p>
    <w:p w:rsidR="00000000" w:rsidRDefault="00F40B2A">
      <w:pPr>
        <w:spacing w:line="500" w:lineRule="atLeast"/>
        <w:ind w:firstLine="600"/>
        <w:divId w:val="349651788"/>
        <w:rPr>
          <w:rFonts w:hint="eastAsia"/>
          <w:sz w:val="30"/>
          <w:szCs w:val="30"/>
        </w:rPr>
      </w:pPr>
      <w:r>
        <w:rPr>
          <w:rFonts w:hint="eastAsia"/>
          <w:sz w:val="30"/>
          <w:szCs w:val="30"/>
        </w:rPr>
        <w:t>综上，赵加花、陈立科、陈真的再审申请不符合《中华人民共和国民事诉讼法》第二百条规定的情形。依照《中华人民共和国民事诉讼法》第二百零四条第一款，《最高人民法院关于适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F40B2A">
      <w:pPr>
        <w:spacing w:line="500" w:lineRule="atLeast"/>
        <w:ind w:firstLine="600"/>
        <w:divId w:val="1701861645"/>
        <w:rPr>
          <w:rFonts w:hint="eastAsia"/>
          <w:sz w:val="30"/>
          <w:szCs w:val="30"/>
        </w:rPr>
      </w:pPr>
      <w:r>
        <w:rPr>
          <w:rFonts w:hint="eastAsia"/>
          <w:sz w:val="30"/>
          <w:szCs w:val="30"/>
        </w:rPr>
        <w:t>驳回赵加花</w:t>
      </w:r>
      <w:r>
        <w:rPr>
          <w:rFonts w:hint="eastAsia"/>
          <w:sz w:val="30"/>
          <w:szCs w:val="30"/>
        </w:rPr>
        <w:t>、陈立科、陈真的再审申请。</w:t>
      </w:r>
    </w:p>
    <w:p w:rsidR="00000000" w:rsidRDefault="00F40B2A">
      <w:pPr>
        <w:spacing w:line="500" w:lineRule="atLeast"/>
        <w:jc w:val="right"/>
        <w:divId w:val="165348019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何　斐</w:t>
      </w:r>
    </w:p>
    <w:p w:rsidR="00000000" w:rsidRDefault="00F40B2A">
      <w:pPr>
        <w:spacing w:line="500" w:lineRule="atLeast"/>
        <w:jc w:val="right"/>
        <w:divId w:val="203819757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秦岸东</w:t>
      </w:r>
    </w:p>
    <w:p w:rsidR="00000000" w:rsidRDefault="00F40B2A">
      <w:pPr>
        <w:spacing w:line="500" w:lineRule="atLeast"/>
        <w:jc w:val="right"/>
        <w:divId w:val="10361884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高　洪</w:t>
      </w:r>
    </w:p>
    <w:p w:rsidR="00000000" w:rsidRDefault="00F40B2A">
      <w:pPr>
        <w:spacing w:line="500" w:lineRule="atLeast"/>
        <w:jc w:val="right"/>
        <w:divId w:val="649670754"/>
        <w:rPr>
          <w:rFonts w:hint="eastAsia"/>
          <w:sz w:val="30"/>
          <w:szCs w:val="30"/>
        </w:rPr>
      </w:pPr>
      <w:r>
        <w:rPr>
          <w:rFonts w:hint="eastAsia"/>
          <w:sz w:val="30"/>
          <w:szCs w:val="30"/>
        </w:rPr>
        <w:t>法官助理　　储瑾伟</w:t>
      </w:r>
    </w:p>
    <w:p w:rsidR="00000000" w:rsidRDefault="00F40B2A">
      <w:pPr>
        <w:spacing w:line="500" w:lineRule="atLeast"/>
        <w:jc w:val="right"/>
        <w:divId w:val="1015226085"/>
        <w:rPr>
          <w:rFonts w:hint="eastAsia"/>
          <w:sz w:val="30"/>
          <w:szCs w:val="30"/>
        </w:rPr>
      </w:pPr>
      <w:r>
        <w:rPr>
          <w:rFonts w:hint="eastAsia"/>
          <w:sz w:val="30"/>
          <w:szCs w:val="30"/>
        </w:rPr>
        <w:t>二〇二〇年七月二十七日</w:t>
      </w:r>
    </w:p>
    <w:p w:rsidR="00000000" w:rsidRDefault="00F40B2A">
      <w:pPr>
        <w:spacing w:line="500" w:lineRule="atLeast"/>
        <w:jc w:val="right"/>
        <w:divId w:val="132369768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汪亚玲</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B2A" w:rsidRDefault="00F40B2A" w:rsidP="00F40B2A">
      <w:r>
        <w:separator/>
      </w:r>
    </w:p>
  </w:endnote>
  <w:endnote w:type="continuationSeparator" w:id="0">
    <w:p w:rsidR="00F40B2A" w:rsidRDefault="00F40B2A" w:rsidP="00F4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B2A" w:rsidRDefault="00F40B2A" w:rsidP="00F40B2A">
      <w:r>
        <w:separator/>
      </w:r>
    </w:p>
  </w:footnote>
  <w:footnote w:type="continuationSeparator" w:id="0">
    <w:p w:rsidR="00F40B2A" w:rsidRDefault="00F40B2A" w:rsidP="00F40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0B2A"/>
    <w:rsid w:val="00F4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4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0B2A"/>
    <w:rPr>
      <w:rFonts w:ascii="宋体" w:eastAsia="宋体" w:hAnsi="宋体" w:cs="宋体"/>
      <w:sz w:val="18"/>
      <w:szCs w:val="18"/>
    </w:rPr>
  </w:style>
  <w:style w:type="paragraph" w:styleId="a5">
    <w:name w:val="footer"/>
    <w:basedOn w:val="a"/>
    <w:link w:val="a6"/>
    <w:uiPriority w:val="99"/>
    <w:unhideWhenUsed/>
    <w:rsid w:val="00F40B2A"/>
    <w:pPr>
      <w:tabs>
        <w:tab w:val="center" w:pos="4153"/>
        <w:tab w:val="right" w:pos="8306"/>
      </w:tabs>
      <w:snapToGrid w:val="0"/>
    </w:pPr>
    <w:rPr>
      <w:sz w:val="18"/>
      <w:szCs w:val="18"/>
    </w:rPr>
  </w:style>
  <w:style w:type="character" w:customStyle="1" w:styleId="a6">
    <w:name w:val="页脚 字符"/>
    <w:basedOn w:val="a0"/>
    <w:link w:val="a5"/>
    <w:uiPriority w:val="99"/>
    <w:rsid w:val="00F40B2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8846">
      <w:marLeft w:val="0"/>
      <w:marRight w:val="720"/>
      <w:marTop w:val="10"/>
      <w:marBottom w:val="10"/>
      <w:divBdr>
        <w:top w:val="none" w:sz="0" w:space="0" w:color="auto"/>
        <w:left w:val="none" w:sz="0" w:space="0" w:color="auto"/>
        <w:bottom w:val="none" w:sz="0" w:space="0" w:color="auto"/>
        <w:right w:val="none" w:sz="0" w:space="0" w:color="auto"/>
      </w:divBdr>
    </w:div>
    <w:div w:id="213856166">
      <w:marLeft w:val="0"/>
      <w:marRight w:val="0"/>
      <w:marTop w:val="10"/>
      <w:marBottom w:val="10"/>
      <w:divBdr>
        <w:top w:val="none" w:sz="0" w:space="0" w:color="auto"/>
        <w:left w:val="none" w:sz="0" w:space="0" w:color="auto"/>
        <w:bottom w:val="none" w:sz="0" w:space="0" w:color="auto"/>
        <w:right w:val="none" w:sz="0" w:space="0" w:color="auto"/>
      </w:divBdr>
    </w:div>
    <w:div w:id="349651788">
      <w:marLeft w:val="0"/>
      <w:marRight w:val="0"/>
      <w:marTop w:val="10"/>
      <w:marBottom w:val="10"/>
      <w:divBdr>
        <w:top w:val="none" w:sz="0" w:space="0" w:color="auto"/>
        <w:left w:val="none" w:sz="0" w:space="0" w:color="auto"/>
        <w:bottom w:val="none" w:sz="0" w:space="0" w:color="auto"/>
        <w:right w:val="none" w:sz="0" w:space="0" w:color="auto"/>
      </w:divBdr>
    </w:div>
    <w:div w:id="611522981">
      <w:marLeft w:val="0"/>
      <w:marRight w:val="0"/>
      <w:marTop w:val="10"/>
      <w:marBottom w:val="10"/>
      <w:divBdr>
        <w:top w:val="none" w:sz="0" w:space="0" w:color="auto"/>
        <w:left w:val="none" w:sz="0" w:space="0" w:color="auto"/>
        <w:bottom w:val="none" w:sz="0" w:space="0" w:color="auto"/>
        <w:right w:val="none" w:sz="0" w:space="0" w:color="auto"/>
      </w:divBdr>
    </w:div>
    <w:div w:id="649670754">
      <w:marLeft w:val="0"/>
      <w:marRight w:val="720"/>
      <w:marTop w:val="10"/>
      <w:marBottom w:val="10"/>
      <w:divBdr>
        <w:top w:val="none" w:sz="0" w:space="0" w:color="auto"/>
        <w:left w:val="none" w:sz="0" w:space="0" w:color="auto"/>
        <w:bottom w:val="none" w:sz="0" w:space="0" w:color="auto"/>
        <w:right w:val="none" w:sz="0" w:space="0" w:color="auto"/>
      </w:divBdr>
    </w:div>
    <w:div w:id="916785785">
      <w:marLeft w:val="0"/>
      <w:marRight w:val="0"/>
      <w:marTop w:val="10"/>
      <w:marBottom w:val="10"/>
      <w:divBdr>
        <w:top w:val="none" w:sz="0" w:space="0" w:color="auto"/>
        <w:left w:val="none" w:sz="0" w:space="0" w:color="auto"/>
        <w:bottom w:val="none" w:sz="0" w:space="0" w:color="auto"/>
        <w:right w:val="none" w:sz="0" w:space="0" w:color="auto"/>
      </w:divBdr>
    </w:div>
    <w:div w:id="1015226085">
      <w:marLeft w:val="0"/>
      <w:marRight w:val="720"/>
      <w:marTop w:val="10"/>
      <w:marBottom w:val="10"/>
      <w:divBdr>
        <w:top w:val="none" w:sz="0" w:space="0" w:color="auto"/>
        <w:left w:val="none" w:sz="0" w:space="0" w:color="auto"/>
        <w:bottom w:val="none" w:sz="0" w:space="0" w:color="auto"/>
        <w:right w:val="none" w:sz="0" w:space="0" w:color="auto"/>
      </w:divBdr>
    </w:div>
    <w:div w:id="1023821579">
      <w:marLeft w:val="0"/>
      <w:marRight w:val="0"/>
      <w:marTop w:val="10"/>
      <w:marBottom w:val="10"/>
      <w:divBdr>
        <w:top w:val="none" w:sz="0" w:space="0" w:color="auto"/>
        <w:left w:val="none" w:sz="0" w:space="0" w:color="auto"/>
        <w:bottom w:val="none" w:sz="0" w:space="0" w:color="auto"/>
        <w:right w:val="none" w:sz="0" w:space="0" w:color="auto"/>
      </w:divBdr>
    </w:div>
    <w:div w:id="1042091338">
      <w:marLeft w:val="0"/>
      <w:marRight w:val="0"/>
      <w:marTop w:val="10"/>
      <w:marBottom w:val="10"/>
      <w:divBdr>
        <w:top w:val="none" w:sz="0" w:space="0" w:color="auto"/>
        <w:left w:val="none" w:sz="0" w:space="0" w:color="auto"/>
        <w:bottom w:val="none" w:sz="0" w:space="0" w:color="auto"/>
        <w:right w:val="none" w:sz="0" w:space="0" w:color="auto"/>
      </w:divBdr>
    </w:div>
    <w:div w:id="1323697681">
      <w:marLeft w:val="0"/>
      <w:marRight w:val="720"/>
      <w:marTop w:val="10"/>
      <w:marBottom w:val="10"/>
      <w:divBdr>
        <w:top w:val="none" w:sz="0" w:space="0" w:color="auto"/>
        <w:left w:val="none" w:sz="0" w:space="0" w:color="auto"/>
        <w:bottom w:val="none" w:sz="0" w:space="0" w:color="auto"/>
        <w:right w:val="none" w:sz="0" w:space="0" w:color="auto"/>
      </w:divBdr>
    </w:div>
    <w:div w:id="1371420606">
      <w:marLeft w:val="0"/>
      <w:marRight w:val="0"/>
      <w:marTop w:val="10"/>
      <w:marBottom w:val="10"/>
      <w:divBdr>
        <w:top w:val="none" w:sz="0" w:space="0" w:color="auto"/>
        <w:left w:val="none" w:sz="0" w:space="0" w:color="auto"/>
        <w:bottom w:val="none" w:sz="0" w:space="0" w:color="auto"/>
        <w:right w:val="none" w:sz="0" w:space="0" w:color="auto"/>
      </w:divBdr>
    </w:div>
    <w:div w:id="1401367048">
      <w:marLeft w:val="0"/>
      <w:marRight w:val="0"/>
      <w:marTop w:val="10"/>
      <w:marBottom w:val="10"/>
      <w:divBdr>
        <w:top w:val="none" w:sz="0" w:space="0" w:color="auto"/>
        <w:left w:val="none" w:sz="0" w:space="0" w:color="auto"/>
        <w:bottom w:val="none" w:sz="0" w:space="0" w:color="auto"/>
        <w:right w:val="none" w:sz="0" w:space="0" w:color="auto"/>
      </w:divBdr>
    </w:div>
    <w:div w:id="1592854648">
      <w:marLeft w:val="0"/>
      <w:marRight w:val="0"/>
      <w:marTop w:val="10"/>
      <w:marBottom w:val="10"/>
      <w:divBdr>
        <w:top w:val="none" w:sz="0" w:space="0" w:color="auto"/>
        <w:left w:val="none" w:sz="0" w:space="0" w:color="auto"/>
        <w:bottom w:val="none" w:sz="0" w:space="0" w:color="auto"/>
        <w:right w:val="none" w:sz="0" w:space="0" w:color="auto"/>
      </w:divBdr>
    </w:div>
    <w:div w:id="1653480193">
      <w:marLeft w:val="0"/>
      <w:marRight w:val="720"/>
      <w:marTop w:val="10"/>
      <w:marBottom w:val="10"/>
      <w:divBdr>
        <w:top w:val="none" w:sz="0" w:space="0" w:color="auto"/>
        <w:left w:val="none" w:sz="0" w:space="0" w:color="auto"/>
        <w:bottom w:val="none" w:sz="0" w:space="0" w:color="auto"/>
        <w:right w:val="none" w:sz="0" w:space="0" w:color="auto"/>
      </w:divBdr>
    </w:div>
    <w:div w:id="1689138688">
      <w:marLeft w:val="0"/>
      <w:marRight w:val="0"/>
      <w:marTop w:val="10"/>
      <w:marBottom w:val="10"/>
      <w:divBdr>
        <w:top w:val="none" w:sz="0" w:space="0" w:color="auto"/>
        <w:left w:val="none" w:sz="0" w:space="0" w:color="auto"/>
        <w:bottom w:val="none" w:sz="0" w:space="0" w:color="auto"/>
        <w:right w:val="none" w:sz="0" w:space="0" w:color="auto"/>
      </w:divBdr>
    </w:div>
    <w:div w:id="1701861645">
      <w:marLeft w:val="0"/>
      <w:marRight w:val="0"/>
      <w:marTop w:val="10"/>
      <w:marBottom w:val="10"/>
      <w:divBdr>
        <w:top w:val="none" w:sz="0" w:space="0" w:color="auto"/>
        <w:left w:val="none" w:sz="0" w:space="0" w:color="auto"/>
        <w:bottom w:val="none" w:sz="0" w:space="0" w:color="auto"/>
        <w:right w:val="none" w:sz="0" w:space="0" w:color="auto"/>
      </w:divBdr>
    </w:div>
    <w:div w:id="1846699308">
      <w:marLeft w:val="0"/>
      <w:marRight w:val="0"/>
      <w:marTop w:val="10"/>
      <w:marBottom w:val="10"/>
      <w:divBdr>
        <w:top w:val="none" w:sz="0" w:space="0" w:color="auto"/>
        <w:left w:val="none" w:sz="0" w:space="0" w:color="auto"/>
        <w:bottom w:val="none" w:sz="0" w:space="0" w:color="auto"/>
        <w:right w:val="none" w:sz="0" w:space="0" w:color="auto"/>
      </w:divBdr>
    </w:div>
    <w:div w:id="1863543994">
      <w:marLeft w:val="0"/>
      <w:marRight w:val="0"/>
      <w:marTop w:val="10"/>
      <w:marBottom w:val="10"/>
      <w:divBdr>
        <w:top w:val="none" w:sz="0" w:space="0" w:color="auto"/>
        <w:left w:val="none" w:sz="0" w:space="0" w:color="auto"/>
        <w:bottom w:val="none" w:sz="0" w:space="0" w:color="auto"/>
        <w:right w:val="none" w:sz="0" w:space="0" w:color="auto"/>
      </w:divBdr>
    </w:div>
    <w:div w:id="1954047219">
      <w:marLeft w:val="0"/>
      <w:marRight w:val="0"/>
      <w:marTop w:val="10"/>
      <w:marBottom w:val="10"/>
      <w:divBdr>
        <w:top w:val="none" w:sz="0" w:space="0" w:color="auto"/>
        <w:left w:val="none" w:sz="0" w:space="0" w:color="auto"/>
        <w:bottom w:val="none" w:sz="0" w:space="0" w:color="auto"/>
        <w:right w:val="none" w:sz="0" w:space="0" w:color="auto"/>
      </w:divBdr>
    </w:div>
    <w:div w:id="2038197576">
      <w:marLeft w:val="0"/>
      <w:marRight w:val="720"/>
      <w:marTop w:val="10"/>
      <w:marBottom w:val="10"/>
      <w:divBdr>
        <w:top w:val="none" w:sz="0" w:space="0" w:color="auto"/>
        <w:left w:val="none" w:sz="0" w:space="0" w:color="auto"/>
        <w:bottom w:val="none" w:sz="0" w:space="0" w:color="auto"/>
        <w:right w:val="none" w:sz="0" w:space="0" w:color="auto"/>
      </w:divBdr>
    </w:div>
    <w:div w:id="2101902729">
      <w:marLeft w:val="0"/>
      <w:marRight w:val="0"/>
      <w:marTop w:val="10"/>
      <w:marBottom w:val="10"/>
      <w:divBdr>
        <w:top w:val="none" w:sz="0" w:space="0" w:color="auto"/>
        <w:left w:val="none" w:sz="0" w:space="0" w:color="auto"/>
        <w:bottom w:val="none" w:sz="0" w:space="0" w:color="auto"/>
        <w:right w:val="none" w:sz="0" w:space="0" w:color="auto"/>
      </w:divBdr>
    </w:div>
    <w:div w:id="214488121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