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C0FB2">
      <w:pPr>
        <w:spacing w:line="500" w:lineRule="atLeast"/>
        <w:jc w:val="center"/>
        <w:divId w:val="631248614"/>
        <w:rPr>
          <w:rFonts w:ascii="黑体" w:eastAsia="黑体" w:hAnsi="黑体"/>
          <w:sz w:val="36"/>
          <w:szCs w:val="36"/>
        </w:rPr>
      </w:pPr>
      <w:bookmarkStart w:id="0" w:name="_GoBack"/>
      <w:bookmarkEnd w:id="0"/>
      <w:r>
        <w:rPr>
          <w:rFonts w:ascii="黑体" w:eastAsia="黑体" w:hAnsi="黑体" w:hint="eastAsia"/>
          <w:sz w:val="36"/>
          <w:szCs w:val="36"/>
        </w:rPr>
        <w:t>吉林省通榆县人民法院</w:t>
      </w:r>
    </w:p>
    <w:p w:rsidR="00000000" w:rsidRDefault="002C0FB2">
      <w:pPr>
        <w:spacing w:line="500" w:lineRule="atLeast"/>
        <w:jc w:val="center"/>
        <w:divId w:val="36984445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C0FB2">
      <w:pPr>
        <w:spacing w:line="500" w:lineRule="atLeast"/>
        <w:jc w:val="right"/>
        <w:divId w:val="397243712"/>
        <w:rPr>
          <w:rFonts w:hint="eastAsia"/>
          <w:sz w:val="30"/>
          <w:szCs w:val="30"/>
        </w:rPr>
      </w:pPr>
      <w:r>
        <w:rPr>
          <w:rFonts w:hint="eastAsia"/>
          <w:sz w:val="30"/>
          <w:szCs w:val="30"/>
        </w:rPr>
        <w:t>（</w:t>
      </w:r>
      <w:r>
        <w:rPr>
          <w:rFonts w:hint="eastAsia"/>
          <w:sz w:val="30"/>
          <w:szCs w:val="30"/>
        </w:rPr>
        <w:t>2023</w:t>
      </w:r>
      <w:r>
        <w:rPr>
          <w:rFonts w:hint="eastAsia"/>
          <w:sz w:val="30"/>
          <w:szCs w:val="30"/>
        </w:rPr>
        <w:t>）吉</w:t>
      </w:r>
      <w:r>
        <w:rPr>
          <w:rFonts w:hint="eastAsia"/>
          <w:sz w:val="30"/>
          <w:szCs w:val="30"/>
        </w:rPr>
        <w:t>0822</w:t>
      </w:r>
      <w:r>
        <w:rPr>
          <w:rFonts w:hint="eastAsia"/>
          <w:sz w:val="30"/>
          <w:szCs w:val="30"/>
        </w:rPr>
        <w:t>民初</w:t>
      </w:r>
      <w:r>
        <w:rPr>
          <w:rFonts w:hint="eastAsia"/>
          <w:sz w:val="30"/>
          <w:szCs w:val="30"/>
        </w:rPr>
        <w:t>562</w:t>
      </w:r>
      <w:r>
        <w:rPr>
          <w:rFonts w:hint="eastAsia"/>
          <w:sz w:val="30"/>
          <w:szCs w:val="30"/>
        </w:rPr>
        <w:t>号</w:t>
      </w:r>
    </w:p>
    <w:p w:rsidR="00000000" w:rsidRDefault="002C0FB2">
      <w:pPr>
        <w:spacing w:line="500" w:lineRule="atLeast"/>
        <w:ind w:firstLine="600"/>
        <w:divId w:val="1105927827"/>
        <w:rPr>
          <w:rFonts w:hint="eastAsia"/>
          <w:sz w:val="30"/>
          <w:szCs w:val="30"/>
        </w:rPr>
      </w:pPr>
      <w:r>
        <w:rPr>
          <w:rFonts w:hint="eastAsia"/>
          <w:sz w:val="30"/>
          <w:szCs w:val="30"/>
        </w:rPr>
        <w:t>原告：通榆县瞻榆镇中心卫生院。</w:t>
      </w:r>
    </w:p>
    <w:p w:rsidR="00000000" w:rsidRDefault="002C0FB2">
      <w:pPr>
        <w:spacing w:line="500" w:lineRule="atLeast"/>
        <w:ind w:firstLine="600"/>
        <w:divId w:val="1930504972"/>
        <w:rPr>
          <w:rFonts w:hint="eastAsia"/>
          <w:sz w:val="30"/>
          <w:szCs w:val="30"/>
        </w:rPr>
      </w:pPr>
      <w:r>
        <w:rPr>
          <w:rFonts w:hint="eastAsia"/>
          <w:sz w:val="30"/>
          <w:szCs w:val="30"/>
        </w:rPr>
        <w:t>法定代表人：姜海峰，男，职务：院长。</w:t>
      </w:r>
    </w:p>
    <w:p w:rsidR="00000000" w:rsidRDefault="002C0FB2">
      <w:pPr>
        <w:spacing w:line="500" w:lineRule="atLeast"/>
        <w:ind w:firstLine="600"/>
        <w:divId w:val="2142917623"/>
        <w:rPr>
          <w:rFonts w:hint="eastAsia"/>
          <w:sz w:val="30"/>
          <w:szCs w:val="30"/>
        </w:rPr>
      </w:pPr>
      <w:r>
        <w:rPr>
          <w:rFonts w:hint="eastAsia"/>
          <w:sz w:val="30"/>
          <w:szCs w:val="30"/>
        </w:rPr>
        <w:t>被告：郭锋，男，</w:t>
      </w:r>
      <w:r>
        <w:rPr>
          <w:rFonts w:hint="eastAsia"/>
          <w:sz w:val="30"/>
          <w:szCs w:val="30"/>
        </w:rPr>
        <w:t>1970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日生，汉族，医生，住通榆县。</w:t>
      </w:r>
    </w:p>
    <w:p w:rsidR="00000000" w:rsidRDefault="002C0FB2">
      <w:pPr>
        <w:spacing w:line="500" w:lineRule="atLeast"/>
        <w:ind w:firstLine="600"/>
        <w:divId w:val="1232422479"/>
        <w:rPr>
          <w:rFonts w:hint="eastAsia"/>
          <w:sz w:val="30"/>
          <w:szCs w:val="30"/>
        </w:rPr>
      </w:pPr>
      <w:r>
        <w:rPr>
          <w:rFonts w:hint="eastAsia"/>
          <w:sz w:val="30"/>
          <w:szCs w:val="30"/>
        </w:rPr>
        <w:t>原告通榆县瞻榆镇中心卫生院与被告郭锋之间的民间借贷纠纷一案，本院依法适用简易程序，公开开庭进行了审理。原告通榆县瞻榆镇中心卫生院法定代表人姜海峰、被告郭锋到庭参加诉讼。本案现已审理终结。</w:t>
      </w:r>
    </w:p>
    <w:p w:rsidR="00000000" w:rsidRDefault="002C0FB2">
      <w:pPr>
        <w:spacing w:line="500" w:lineRule="atLeast"/>
        <w:ind w:firstLine="600"/>
        <w:divId w:val="1357080847"/>
        <w:rPr>
          <w:rFonts w:hint="eastAsia"/>
          <w:sz w:val="30"/>
          <w:szCs w:val="30"/>
        </w:rPr>
      </w:pPr>
      <w:r>
        <w:rPr>
          <w:rFonts w:hint="eastAsia"/>
          <w:sz w:val="30"/>
          <w:szCs w:val="30"/>
        </w:rPr>
        <w:t>通榆县瞻榆镇中心卫生院向本院提出诉讼请求：诉请被告给付原告借款</w:t>
      </w:r>
      <w:r>
        <w:rPr>
          <w:rFonts w:hint="eastAsia"/>
          <w:sz w:val="30"/>
          <w:szCs w:val="30"/>
        </w:rPr>
        <w:t>50000.00</w:t>
      </w:r>
      <w:r>
        <w:rPr>
          <w:rFonts w:hint="eastAsia"/>
          <w:sz w:val="30"/>
          <w:szCs w:val="30"/>
        </w:rPr>
        <w:t>元，诉讼费由被告承担。事实与理由：被告于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日在原告处借款</w:t>
      </w:r>
      <w:r>
        <w:rPr>
          <w:rFonts w:hint="eastAsia"/>
          <w:sz w:val="30"/>
          <w:szCs w:val="30"/>
        </w:rPr>
        <w:t>50000.00</w:t>
      </w:r>
      <w:r>
        <w:rPr>
          <w:rFonts w:hint="eastAsia"/>
          <w:sz w:val="30"/>
          <w:szCs w:val="30"/>
        </w:rPr>
        <w:t>元，经原告索要未果，故诉法院请求依法支持原告的诉讼请求。</w:t>
      </w:r>
    </w:p>
    <w:p w:rsidR="00000000" w:rsidRDefault="002C0FB2">
      <w:pPr>
        <w:spacing w:line="500" w:lineRule="atLeast"/>
        <w:ind w:firstLine="600"/>
        <w:divId w:val="433134479"/>
        <w:rPr>
          <w:rFonts w:hint="eastAsia"/>
          <w:sz w:val="30"/>
          <w:szCs w:val="30"/>
        </w:rPr>
      </w:pPr>
      <w:r>
        <w:rPr>
          <w:rFonts w:hint="eastAsia"/>
          <w:sz w:val="30"/>
          <w:szCs w:val="30"/>
        </w:rPr>
        <w:t>郭锋辩称，借款属实，不同意偿还，借款用于给患者周亚玲治病了，当初医院同意的，借款不属于个人借款。</w:t>
      </w:r>
    </w:p>
    <w:p w:rsidR="00000000" w:rsidRDefault="002C0FB2">
      <w:pPr>
        <w:spacing w:line="500" w:lineRule="atLeast"/>
        <w:ind w:firstLine="600"/>
        <w:divId w:val="1110509254"/>
        <w:rPr>
          <w:rFonts w:hint="eastAsia"/>
          <w:sz w:val="30"/>
          <w:szCs w:val="30"/>
        </w:rPr>
      </w:pPr>
      <w:r>
        <w:rPr>
          <w:rFonts w:hint="eastAsia"/>
          <w:sz w:val="30"/>
          <w:szCs w:val="30"/>
        </w:rPr>
        <w:t>当事人通榆县瞻榆镇中心卫生院围绕诉讼请求依法提交了被告出具的欠据一份，证明被告借款时间、金额的事实，经被告质证无异议，本院对原告提交的证据予以确认并在卷佐证。</w:t>
      </w:r>
    </w:p>
    <w:p w:rsidR="00000000" w:rsidRDefault="002C0FB2">
      <w:pPr>
        <w:spacing w:line="500" w:lineRule="atLeast"/>
        <w:ind w:firstLine="600"/>
        <w:divId w:val="1594779604"/>
        <w:rPr>
          <w:rFonts w:hint="eastAsia"/>
          <w:sz w:val="30"/>
          <w:szCs w:val="30"/>
        </w:rPr>
      </w:pPr>
      <w:r>
        <w:rPr>
          <w:rFonts w:hint="eastAsia"/>
          <w:sz w:val="30"/>
          <w:szCs w:val="30"/>
        </w:rPr>
        <w:t>当事人郭锋围绕答辩意见提交了以下</w:t>
      </w:r>
      <w:r>
        <w:rPr>
          <w:rFonts w:hint="eastAsia"/>
          <w:sz w:val="30"/>
          <w:szCs w:val="30"/>
        </w:rPr>
        <w:t>证据：</w:t>
      </w:r>
      <w:r>
        <w:rPr>
          <w:rFonts w:hint="eastAsia"/>
          <w:sz w:val="30"/>
          <w:szCs w:val="30"/>
        </w:rPr>
        <w:t>1</w:t>
      </w:r>
      <w:r>
        <w:rPr>
          <w:rFonts w:hint="eastAsia"/>
          <w:sz w:val="30"/>
          <w:szCs w:val="30"/>
        </w:rPr>
        <w:t>、长春市康安出院抬护服务有限公司出具的发票二份，证明患者周亚玲从长春到北京治疗救护车的费用为</w:t>
      </w:r>
      <w:r>
        <w:rPr>
          <w:rFonts w:hint="eastAsia"/>
          <w:sz w:val="30"/>
          <w:szCs w:val="30"/>
        </w:rPr>
        <w:t>20000.00</w:t>
      </w:r>
      <w:r>
        <w:rPr>
          <w:rFonts w:hint="eastAsia"/>
          <w:sz w:val="30"/>
          <w:szCs w:val="30"/>
        </w:rPr>
        <w:t>元由被告垫付的事实；</w:t>
      </w:r>
      <w:r>
        <w:rPr>
          <w:rFonts w:hint="eastAsia"/>
          <w:sz w:val="30"/>
          <w:szCs w:val="30"/>
        </w:rPr>
        <w:t>2</w:t>
      </w:r>
      <w:r>
        <w:rPr>
          <w:rFonts w:hint="eastAsia"/>
          <w:sz w:val="30"/>
          <w:szCs w:val="30"/>
        </w:rPr>
        <w:t>、长春市二道区金豪科学仪器经销处出具的发票二份，证明患者周亚玲购买轮椅、拐杖、坐便椅共计花费</w:t>
      </w:r>
      <w:r>
        <w:rPr>
          <w:rFonts w:hint="eastAsia"/>
          <w:sz w:val="30"/>
          <w:szCs w:val="30"/>
        </w:rPr>
        <w:t>6000.00</w:t>
      </w:r>
      <w:r>
        <w:rPr>
          <w:rFonts w:hint="eastAsia"/>
          <w:sz w:val="30"/>
          <w:szCs w:val="30"/>
        </w:rPr>
        <w:t>元，由被告垫付的事实；</w:t>
      </w:r>
      <w:r>
        <w:rPr>
          <w:rFonts w:hint="eastAsia"/>
          <w:sz w:val="30"/>
          <w:szCs w:val="30"/>
        </w:rPr>
        <w:t>3</w:t>
      </w:r>
      <w:r>
        <w:rPr>
          <w:rFonts w:hint="eastAsia"/>
          <w:sz w:val="30"/>
          <w:szCs w:val="30"/>
        </w:rPr>
        <w:t>、首都大学安贞医院出具的门诊收费票据一份、吉林省中东健康万家医药连锁有限公司出具的发票一份，</w:t>
      </w:r>
      <w:r>
        <w:rPr>
          <w:rFonts w:hint="eastAsia"/>
          <w:sz w:val="30"/>
          <w:szCs w:val="30"/>
        </w:rPr>
        <w:lastRenderedPageBreak/>
        <w:t>证明患者周亚玲在安贞医院就诊花费</w:t>
      </w:r>
      <w:r>
        <w:rPr>
          <w:rFonts w:hint="eastAsia"/>
          <w:sz w:val="30"/>
          <w:szCs w:val="30"/>
        </w:rPr>
        <w:t>140.00</w:t>
      </w:r>
      <w:r>
        <w:rPr>
          <w:rFonts w:hint="eastAsia"/>
          <w:sz w:val="30"/>
          <w:szCs w:val="30"/>
        </w:rPr>
        <w:t>元、在医院外购药花费</w:t>
      </w:r>
      <w:r>
        <w:rPr>
          <w:rFonts w:hint="eastAsia"/>
          <w:sz w:val="30"/>
          <w:szCs w:val="30"/>
        </w:rPr>
        <w:t>241.60</w:t>
      </w:r>
      <w:r>
        <w:rPr>
          <w:rFonts w:hint="eastAsia"/>
          <w:sz w:val="30"/>
          <w:szCs w:val="30"/>
        </w:rPr>
        <w:t>元，该款由被告垫付的事实；</w:t>
      </w:r>
      <w:r>
        <w:rPr>
          <w:rFonts w:hint="eastAsia"/>
          <w:sz w:val="30"/>
          <w:szCs w:val="30"/>
        </w:rPr>
        <w:t>4</w:t>
      </w:r>
      <w:r>
        <w:rPr>
          <w:rFonts w:hint="eastAsia"/>
          <w:sz w:val="30"/>
          <w:szCs w:val="30"/>
        </w:rPr>
        <w:t>、长春市经济技术开发区宾馆出具的发票五份，证明患</w:t>
      </w:r>
      <w:r>
        <w:rPr>
          <w:rFonts w:hint="eastAsia"/>
          <w:sz w:val="30"/>
          <w:szCs w:val="30"/>
        </w:rPr>
        <w:t>者周亚玲在长春住院治疗期间在外住宿费用共计</w:t>
      </w:r>
      <w:r>
        <w:rPr>
          <w:rFonts w:hint="eastAsia"/>
          <w:sz w:val="30"/>
          <w:szCs w:val="30"/>
        </w:rPr>
        <w:t>2109.28</w:t>
      </w:r>
      <w:r>
        <w:rPr>
          <w:rFonts w:hint="eastAsia"/>
          <w:sz w:val="30"/>
          <w:szCs w:val="30"/>
        </w:rPr>
        <w:t>元由被告垫付的事实；</w:t>
      </w:r>
      <w:r>
        <w:rPr>
          <w:rFonts w:hint="eastAsia"/>
          <w:sz w:val="30"/>
          <w:szCs w:val="30"/>
        </w:rPr>
        <w:t>5</w:t>
      </w:r>
      <w:r>
        <w:rPr>
          <w:rFonts w:hint="eastAsia"/>
          <w:sz w:val="30"/>
          <w:szCs w:val="30"/>
        </w:rPr>
        <w:t>、从北京返回长春火车票六张，加油发票、出租车发票各一份，证实患者周亚玲及陪同人员从北京返回长春花费</w:t>
      </w:r>
      <w:r>
        <w:rPr>
          <w:rFonts w:hint="eastAsia"/>
          <w:sz w:val="30"/>
          <w:szCs w:val="30"/>
        </w:rPr>
        <w:t>1113.00</w:t>
      </w:r>
      <w:r>
        <w:rPr>
          <w:rFonts w:hint="eastAsia"/>
          <w:sz w:val="30"/>
          <w:szCs w:val="30"/>
        </w:rPr>
        <w:t>元、加油</w:t>
      </w:r>
      <w:r>
        <w:rPr>
          <w:rFonts w:hint="eastAsia"/>
          <w:sz w:val="30"/>
          <w:szCs w:val="30"/>
        </w:rPr>
        <w:t>200.00</w:t>
      </w:r>
      <w:r>
        <w:rPr>
          <w:rFonts w:hint="eastAsia"/>
          <w:sz w:val="30"/>
          <w:szCs w:val="30"/>
        </w:rPr>
        <w:t>元、打出租车费用</w:t>
      </w:r>
      <w:r>
        <w:rPr>
          <w:rFonts w:hint="eastAsia"/>
          <w:sz w:val="30"/>
          <w:szCs w:val="30"/>
        </w:rPr>
        <w:t>32.00</w:t>
      </w:r>
      <w:r>
        <w:rPr>
          <w:rFonts w:hint="eastAsia"/>
          <w:sz w:val="30"/>
          <w:szCs w:val="30"/>
        </w:rPr>
        <w:t>元由被告垫付的事实；</w:t>
      </w:r>
      <w:r>
        <w:rPr>
          <w:rFonts w:hint="eastAsia"/>
          <w:sz w:val="30"/>
          <w:szCs w:val="30"/>
        </w:rPr>
        <w:t>6</w:t>
      </w:r>
      <w:r>
        <w:rPr>
          <w:rFonts w:hint="eastAsia"/>
          <w:sz w:val="30"/>
          <w:szCs w:val="30"/>
        </w:rPr>
        <w:t>、周亚玲住院票据二份，金额共计</w:t>
      </w:r>
      <w:r>
        <w:rPr>
          <w:rFonts w:hint="eastAsia"/>
          <w:sz w:val="30"/>
          <w:szCs w:val="30"/>
        </w:rPr>
        <w:t>43704.33</w:t>
      </w:r>
      <w:r>
        <w:rPr>
          <w:rFonts w:hint="eastAsia"/>
          <w:sz w:val="30"/>
          <w:szCs w:val="30"/>
        </w:rPr>
        <w:t>元，证实患者周亚玲住院治疗由被告垫付医疗费的事实；</w:t>
      </w:r>
      <w:r>
        <w:rPr>
          <w:rFonts w:hint="eastAsia"/>
          <w:sz w:val="30"/>
          <w:szCs w:val="30"/>
        </w:rPr>
        <w:t>7</w:t>
      </w:r>
      <w:r>
        <w:rPr>
          <w:rFonts w:hint="eastAsia"/>
          <w:sz w:val="30"/>
          <w:szCs w:val="30"/>
        </w:rPr>
        <w:t>、周亚玲丈夫周治军出具的证明一份，证明周亚玲治疗期间以上相关费用都是由医院垫付的事实；</w:t>
      </w:r>
      <w:r>
        <w:rPr>
          <w:rFonts w:hint="eastAsia"/>
          <w:sz w:val="30"/>
          <w:szCs w:val="30"/>
        </w:rPr>
        <w:t>8</w:t>
      </w:r>
      <w:r>
        <w:rPr>
          <w:rFonts w:hint="eastAsia"/>
          <w:sz w:val="30"/>
          <w:szCs w:val="30"/>
        </w:rPr>
        <w:t>、（</w:t>
      </w:r>
      <w:r>
        <w:rPr>
          <w:rFonts w:hint="eastAsia"/>
          <w:sz w:val="30"/>
          <w:szCs w:val="30"/>
        </w:rPr>
        <w:t>2021</w:t>
      </w:r>
      <w:r>
        <w:rPr>
          <w:rFonts w:hint="eastAsia"/>
          <w:sz w:val="30"/>
          <w:szCs w:val="30"/>
        </w:rPr>
        <w:t>）吉</w:t>
      </w:r>
      <w:r>
        <w:rPr>
          <w:rFonts w:hint="eastAsia"/>
          <w:sz w:val="30"/>
          <w:szCs w:val="30"/>
        </w:rPr>
        <w:t>0822</w:t>
      </w:r>
      <w:r>
        <w:rPr>
          <w:rFonts w:hint="eastAsia"/>
          <w:sz w:val="30"/>
          <w:szCs w:val="30"/>
        </w:rPr>
        <w:t>民初</w:t>
      </w:r>
      <w:r>
        <w:rPr>
          <w:rFonts w:hint="eastAsia"/>
          <w:sz w:val="30"/>
          <w:szCs w:val="30"/>
        </w:rPr>
        <w:t>2314</w:t>
      </w:r>
      <w:r>
        <w:rPr>
          <w:rFonts w:hint="eastAsia"/>
          <w:sz w:val="30"/>
          <w:szCs w:val="30"/>
        </w:rPr>
        <w:t>号民事判决书一份，证明该判决原告</w:t>
      </w:r>
      <w:r>
        <w:rPr>
          <w:rFonts w:hint="eastAsia"/>
          <w:sz w:val="30"/>
          <w:szCs w:val="30"/>
        </w:rPr>
        <w:t>赔偿周亚玲各项费用，并不包含被告垫付的相关费用。以上证据经通榆县瞻榆镇中心卫生院法定代表人姜海峰质证无异议，本院对被告提交的证据予以确认并在卷佐证。</w:t>
      </w:r>
    </w:p>
    <w:p w:rsidR="00000000" w:rsidRDefault="002C0FB2">
      <w:pPr>
        <w:spacing w:line="500" w:lineRule="atLeast"/>
        <w:ind w:firstLine="600"/>
        <w:divId w:val="1216819391"/>
        <w:rPr>
          <w:rFonts w:hint="eastAsia"/>
          <w:sz w:val="30"/>
          <w:szCs w:val="30"/>
        </w:rPr>
      </w:pPr>
      <w:r>
        <w:rPr>
          <w:rFonts w:hint="eastAsia"/>
          <w:sz w:val="30"/>
          <w:szCs w:val="30"/>
        </w:rPr>
        <w:t>本院认为，</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日，通榆县瞻榆镇中心卫生院在给患者周亚玲治病过程中，发生医疗事故，经通榆县瞻榆镇中心卫生院同意由被告郭锋陪同患者外出就医。</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日，郭锋在原告处借款</w:t>
      </w:r>
      <w:r>
        <w:rPr>
          <w:rFonts w:hint="eastAsia"/>
          <w:sz w:val="30"/>
          <w:szCs w:val="30"/>
        </w:rPr>
        <w:t>50000.00</w:t>
      </w:r>
      <w:r>
        <w:rPr>
          <w:rFonts w:hint="eastAsia"/>
          <w:sz w:val="30"/>
          <w:szCs w:val="30"/>
        </w:rPr>
        <w:t>元用于患者周亚玲的医疗费用，其借款行为应当认定为通榆县瞻榆镇中心卫生院为医疗事故患者周亚玲外出就医而支付的相关费用。从郭锋提交的证据中可以认定，其借款已经全部用于</w:t>
      </w:r>
      <w:r>
        <w:rPr>
          <w:rFonts w:hint="eastAsia"/>
          <w:sz w:val="30"/>
          <w:szCs w:val="30"/>
        </w:rPr>
        <w:t>患者周亚玲治疗费用。《最高人民法院关于适用〈中华人民共和国民事诉讼法〉的解释》第九十条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w:t>
      </w:r>
      <w:r>
        <w:rPr>
          <w:rFonts w:hint="eastAsia"/>
          <w:sz w:val="30"/>
          <w:szCs w:val="30"/>
        </w:rPr>
        <w:lastRenderedPageBreak/>
        <w:t>事人承担不利的后果。”原告要求被告返还借款，但其提交的证据不足以证明其主张，故本院对原告的诉讼请求不予支持。</w:t>
      </w:r>
    </w:p>
    <w:p w:rsidR="00000000" w:rsidRDefault="002C0FB2">
      <w:pPr>
        <w:spacing w:line="500" w:lineRule="atLeast"/>
        <w:ind w:firstLine="600"/>
        <w:divId w:val="377971591"/>
        <w:rPr>
          <w:rFonts w:hint="eastAsia"/>
          <w:sz w:val="30"/>
          <w:szCs w:val="30"/>
        </w:rPr>
      </w:pPr>
      <w:r>
        <w:rPr>
          <w:rFonts w:hint="eastAsia"/>
          <w:sz w:val="30"/>
          <w:szCs w:val="30"/>
        </w:rPr>
        <w:t>综上，依照《最高人民法院关于适用〈中华人民共和国民事诉讼法〉的解释》第九十条之规定，判决如下：</w:t>
      </w:r>
    </w:p>
    <w:p w:rsidR="00000000" w:rsidRDefault="002C0FB2">
      <w:pPr>
        <w:spacing w:line="500" w:lineRule="atLeast"/>
        <w:ind w:firstLine="600"/>
        <w:divId w:val="1497112347"/>
        <w:rPr>
          <w:rFonts w:hint="eastAsia"/>
          <w:sz w:val="30"/>
          <w:szCs w:val="30"/>
        </w:rPr>
      </w:pPr>
      <w:r>
        <w:rPr>
          <w:rFonts w:hint="eastAsia"/>
          <w:sz w:val="30"/>
          <w:szCs w:val="30"/>
        </w:rPr>
        <w:t>驳回原告通榆</w:t>
      </w:r>
      <w:r>
        <w:rPr>
          <w:rFonts w:hint="eastAsia"/>
          <w:sz w:val="30"/>
          <w:szCs w:val="30"/>
        </w:rPr>
        <w:t>县瞻榆镇中心卫生院的诉讼请求。</w:t>
      </w:r>
    </w:p>
    <w:p w:rsidR="00000000" w:rsidRDefault="002C0FB2">
      <w:pPr>
        <w:spacing w:line="500" w:lineRule="atLeast"/>
        <w:ind w:firstLine="600"/>
        <w:divId w:val="1617179967"/>
        <w:rPr>
          <w:rFonts w:hint="eastAsia"/>
          <w:sz w:val="30"/>
          <w:szCs w:val="30"/>
        </w:rPr>
      </w:pPr>
      <w:r>
        <w:rPr>
          <w:rFonts w:hint="eastAsia"/>
          <w:sz w:val="30"/>
          <w:szCs w:val="30"/>
        </w:rPr>
        <w:t>案件受理费减半收取</w:t>
      </w:r>
      <w:r>
        <w:rPr>
          <w:rFonts w:hint="eastAsia"/>
          <w:sz w:val="30"/>
          <w:szCs w:val="30"/>
        </w:rPr>
        <w:t>525.00</w:t>
      </w:r>
      <w:r>
        <w:rPr>
          <w:rFonts w:hint="eastAsia"/>
          <w:sz w:val="30"/>
          <w:szCs w:val="30"/>
        </w:rPr>
        <w:t>元，由原告通榆县瞻榆镇中心卫生院负担。</w:t>
      </w:r>
    </w:p>
    <w:p w:rsidR="00000000" w:rsidRDefault="002C0FB2">
      <w:pPr>
        <w:spacing w:line="500" w:lineRule="atLeast"/>
        <w:ind w:firstLine="600"/>
        <w:divId w:val="1382171105"/>
        <w:rPr>
          <w:rFonts w:hint="eastAsia"/>
          <w:sz w:val="30"/>
          <w:szCs w:val="30"/>
        </w:rPr>
      </w:pPr>
      <w:r>
        <w:rPr>
          <w:rFonts w:hint="eastAsia"/>
          <w:sz w:val="30"/>
          <w:szCs w:val="30"/>
        </w:rPr>
        <w:t>如不服本判决，可在判决书送达之日起十五日内，向本院递交上诉状，并按对方当事人的人数提出副本，上诉于吉林省白城市中级人民法院。</w:t>
      </w:r>
    </w:p>
    <w:p w:rsidR="00000000" w:rsidRDefault="002C0FB2">
      <w:pPr>
        <w:spacing w:line="500" w:lineRule="atLeast"/>
        <w:jc w:val="right"/>
        <w:divId w:val="1740710680"/>
        <w:rPr>
          <w:rFonts w:hint="eastAsia"/>
          <w:sz w:val="30"/>
          <w:szCs w:val="30"/>
        </w:rPr>
      </w:pPr>
      <w:r>
        <w:rPr>
          <w:rFonts w:hint="eastAsia"/>
          <w:sz w:val="30"/>
          <w:szCs w:val="30"/>
        </w:rPr>
        <w:t>审判员　　陈艳军</w:t>
      </w:r>
    </w:p>
    <w:p w:rsidR="00000000" w:rsidRDefault="002C0FB2">
      <w:pPr>
        <w:spacing w:line="500" w:lineRule="atLeast"/>
        <w:jc w:val="right"/>
        <w:divId w:val="1652169681"/>
        <w:rPr>
          <w:rFonts w:hint="eastAsia"/>
          <w:sz w:val="30"/>
          <w:szCs w:val="30"/>
        </w:rPr>
      </w:pPr>
      <w:r>
        <w:rPr>
          <w:rFonts w:hint="eastAsia"/>
          <w:sz w:val="30"/>
          <w:szCs w:val="30"/>
        </w:rPr>
        <w:t>二〇二三年二月二十二日</w:t>
      </w:r>
    </w:p>
    <w:p w:rsidR="00000000" w:rsidRDefault="002C0FB2">
      <w:pPr>
        <w:spacing w:line="500" w:lineRule="atLeast"/>
        <w:jc w:val="right"/>
        <w:divId w:val="543640053"/>
        <w:rPr>
          <w:rFonts w:hint="eastAsia"/>
          <w:sz w:val="30"/>
          <w:szCs w:val="30"/>
        </w:rPr>
      </w:pPr>
      <w:r>
        <w:rPr>
          <w:rFonts w:hint="eastAsia"/>
          <w:sz w:val="30"/>
          <w:szCs w:val="30"/>
        </w:rPr>
        <w:t>书记员　　王鹏志</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FB2" w:rsidRDefault="002C0FB2" w:rsidP="002C0FB2">
      <w:r>
        <w:separator/>
      </w:r>
    </w:p>
  </w:endnote>
  <w:endnote w:type="continuationSeparator" w:id="0">
    <w:p w:rsidR="002C0FB2" w:rsidRDefault="002C0FB2" w:rsidP="002C0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FB2" w:rsidRDefault="002C0FB2" w:rsidP="002C0FB2">
      <w:r>
        <w:separator/>
      </w:r>
    </w:p>
  </w:footnote>
  <w:footnote w:type="continuationSeparator" w:id="0">
    <w:p w:rsidR="002C0FB2" w:rsidRDefault="002C0FB2" w:rsidP="002C0F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0FB2"/>
    <w:rsid w:val="002C0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C0F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0FB2"/>
    <w:rPr>
      <w:rFonts w:ascii="宋体" w:eastAsia="宋体" w:hAnsi="宋体" w:cs="宋体"/>
      <w:sz w:val="18"/>
      <w:szCs w:val="18"/>
    </w:rPr>
  </w:style>
  <w:style w:type="paragraph" w:styleId="a5">
    <w:name w:val="footer"/>
    <w:basedOn w:val="a"/>
    <w:link w:val="a6"/>
    <w:uiPriority w:val="99"/>
    <w:unhideWhenUsed/>
    <w:rsid w:val="002C0FB2"/>
    <w:pPr>
      <w:tabs>
        <w:tab w:val="center" w:pos="4153"/>
        <w:tab w:val="right" w:pos="8306"/>
      </w:tabs>
      <w:snapToGrid w:val="0"/>
    </w:pPr>
    <w:rPr>
      <w:sz w:val="18"/>
      <w:szCs w:val="18"/>
    </w:rPr>
  </w:style>
  <w:style w:type="character" w:customStyle="1" w:styleId="a6">
    <w:name w:val="页脚 字符"/>
    <w:basedOn w:val="a0"/>
    <w:link w:val="a5"/>
    <w:uiPriority w:val="99"/>
    <w:rsid w:val="002C0FB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44451">
      <w:marLeft w:val="0"/>
      <w:marRight w:val="0"/>
      <w:marTop w:val="10"/>
      <w:marBottom w:val="10"/>
      <w:divBdr>
        <w:top w:val="none" w:sz="0" w:space="0" w:color="auto"/>
        <w:left w:val="none" w:sz="0" w:space="0" w:color="auto"/>
        <w:bottom w:val="none" w:sz="0" w:space="0" w:color="auto"/>
        <w:right w:val="none" w:sz="0" w:space="0" w:color="auto"/>
      </w:divBdr>
    </w:div>
    <w:div w:id="377971591">
      <w:marLeft w:val="0"/>
      <w:marRight w:val="0"/>
      <w:marTop w:val="10"/>
      <w:marBottom w:val="10"/>
      <w:divBdr>
        <w:top w:val="none" w:sz="0" w:space="0" w:color="auto"/>
        <w:left w:val="none" w:sz="0" w:space="0" w:color="auto"/>
        <w:bottom w:val="none" w:sz="0" w:space="0" w:color="auto"/>
        <w:right w:val="none" w:sz="0" w:space="0" w:color="auto"/>
      </w:divBdr>
    </w:div>
    <w:div w:id="397243712">
      <w:marLeft w:val="0"/>
      <w:marRight w:val="0"/>
      <w:marTop w:val="10"/>
      <w:marBottom w:val="10"/>
      <w:divBdr>
        <w:top w:val="none" w:sz="0" w:space="0" w:color="auto"/>
        <w:left w:val="none" w:sz="0" w:space="0" w:color="auto"/>
        <w:bottom w:val="none" w:sz="0" w:space="0" w:color="auto"/>
        <w:right w:val="none" w:sz="0" w:space="0" w:color="auto"/>
      </w:divBdr>
    </w:div>
    <w:div w:id="433134479">
      <w:marLeft w:val="0"/>
      <w:marRight w:val="0"/>
      <w:marTop w:val="10"/>
      <w:marBottom w:val="10"/>
      <w:divBdr>
        <w:top w:val="none" w:sz="0" w:space="0" w:color="auto"/>
        <w:left w:val="none" w:sz="0" w:space="0" w:color="auto"/>
        <w:bottom w:val="none" w:sz="0" w:space="0" w:color="auto"/>
        <w:right w:val="none" w:sz="0" w:space="0" w:color="auto"/>
      </w:divBdr>
    </w:div>
    <w:div w:id="543640053">
      <w:marLeft w:val="0"/>
      <w:marRight w:val="720"/>
      <w:marTop w:val="10"/>
      <w:marBottom w:val="10"/>
      <w:divBdr>
        <w:top w:val="none" w:sz="0" w:space="0" w:color="auto"/>
        <w:left w:val="none" w:sz="0" w:space="0" w:color="auto"/>
        <w:bottom w:val="none" w:sz="0" w:space="0" w:color="auto"/>
        <w:right w:val="none" w:sz="0" w:space="0" w:color="auto"/>
      </w:divBdr>
    </w:div>
    <w:div w:id="631248614">
      <w:marLeft w:val="0"/>
      <w:marRight w:val="0"/>
      <w:marTop w:val="10"/>
      <w:marBottom w:val="10"/>
      <w:divBdr>
        <w:top w:val="none" w:sz="0" w:space="0" w:color="auto"/>
        <w:left w:val="none" w:sz="0" w:space="0" w:color="auto"/>
        <w:bottom w:val="none" w:sz="0" w:space="0" w:color="auto"/>
        <w:right w:val="none" w:sz="0" w:space="0" w:color="auto"/>
      </w:divBdr>
    </w:div>
    <w:div w:id="1105927827">
      <w:marLeft w:val="0"/>
      <w:marRight w:val="0"/>
      <w:marTop w:val="10"/>
      <w:marBottom w:val="10"/>
      <w:divBdr>
        <w:top w:val="none" w:sz="0" w:space="0" w:color="auto"/>
        <w:left w:val="none" w:sz="0" w:space="0" w:color="auto"/>
        <w:bottom w:val="none" w:sz="0" w:space="0" w:color="auto"/>
        <w:right w:val="none" w:sz="0" w:space="0" w:color="auto"/>
      </w:divBdr>
    </w:div>
    <w:div w:id="1110509254">
      <w:marLeft w:val="0"/>
      <w:marRight w:val="0"/>
      <w:marTop w:val="10"/>
      <w:marBottom w:val="10"/>
      <w:divBdr>
        <w:top w:val="none" w:sz="0" w:space="0" w:color="auto"/>
        <w:left w:val="none" w:sz="0" w:space="0" w:color="auto"/>
        <w:bottom w:val="none" w:sz="0" w:space="0" w:color="auto"/>
        <w:right w:val="none" w:sz="0" w:space="0" w:color="auto"/>
      </w:divBdr>
    </w:div>
    <w:div w:id="1216819391">
      <w:marLeft w:val="0"/>
      <w:marRight w:val="0"/>
      <w:marTop w:val="10"/>
      <w:marBottom w:val="10"/>
      <w:divBdr>
        <w:top w:val="none" w:sz="0" w:space="0" w:color="auto"/>
        <w:left w:val="none" w:sz="0" w:space="0" w:color="auto"/>
        <w:bottom w:val="none" w:sz="0" w:space="0" w:color="auto"/>
        <w:right w:val="none" w:sz="0" w:space="0" w:color="auto"/>
      </w:divBdr>
    </w:div>
    <w:div w:id="1232422479">
      <w:marLeft w:val="0"/>
      <w:marRight w:val="0"/>
      <w:marTop w:val="10"/>
      <w:marBottom w:val="10"/>
      <w:divBdr>
        <w:top w:val="none" w:sz="0" w:space="0" w:color="auto"/>
        <w:left w:val="none" w:sz="0" w:space="0" w:color="auto"/>
        <w:bottom w:val="none" w:sz="0" w:space="0" w:color="auto"/>
        <w:right w:val="none" w:sz="0" w:space="0" w:color="auto"/>
      </w:divBdr>
    </w:div>
    <w:div w:id="1357080847">
      <w:marLeft w:val="0"/>
      <w:marRight w:val="0"/>
      <w:marTop w:val="10"/>
      <w:marBottom w:val="10"/>
      <w:divBdr>
        <w:top w:val="none" w:sz="0" w:space="0" w:color="auto"/>
        <w:left w:val="none" w:sz="0" w:space="0" w:color="auto"/>
        <w:bottom w:val="none" w:sz="0" w:space="0" w:color="auto"/>
        <w:right w:val="none" w:sz="0" w:space="0" w:color="auto"/>
      </w:divBdr>
    </w:div>
    <w:div w:id="1382171105">
      <w:marLeft w:val="0"/>
      <w:marRight w:val="0"/>
      <w:marTop w:val="10"/>
      <w:marBottom w:val="10"/>
      <w:divBdr>
        <w:top w:val="none" w:sz="0" w:space="0" w:color="auto"/>
        <w:left w:val="none" w:sz="0" w:space="0" w:color="auto"/>
        <w:bottom w:val="none" w:sz="0" w:space="0" w:color="auto"/>
        <w:right w:val="none" w:sz="0" w:space="0" w:color="auto"/>
      </w:divBdr>
    </w:div>
    <w:div w:id="1497112347">
      <w:marLeft w:val="0"/>
      <w:marRight w:val="0"/>
      <w:marTop w:val="10"/>
      <w:marBottom w:val="10"/>
      <w:divBdr>
        <w:top w:val="none" w:sz="0" w:space="0" w:color="auto"/>
        <w:left w:val="none" w:sz="0" w:space="0" w:color="auto"/>
        <w:bottom w:val="none" w:sz="0" w:space="0" w:color="auto"/>
        <w:right w:val="none" w:sz="0" w:space="0" w:color="auto"/>
      </w:divBdr>
    </w:div>
    <w:div w:id="1594779604">
      <w:marLeft w:val="0"/>
      <w:marRight w:val="0"/>
      <w:marTop w:val="10"/>
      <w:marBottom w:val="10"/>
      <w:divBdr>
        <w:top w:val="none" w:sz="0" w:space="0" w:color="auto"/>
        <w:left w:val="none" w:sz="0" w:space="0" w:color="auto"/>
        <w:bottom w:val="none" w:sz="0" w:space="0" w:color="auto"/>
        <w:right w:val="none" w:sz="0" w:space="0" w:color="auto"/>
      </w:divBdr>
    </w:div>
    <w:div w:id="1617179967">
      <w:marLeft w:val="0"/>
      <w:marRight w:val="0"/>
      <w:marTop w:val="10"/>
      <w:marBottom w:val="10"/>
      <w:divBdr>
        <w:top w:val="none" w:sz="0" w:space="0" w:color="auto"/>
        <w:left w:val="none" w:sz="0" w:space="0" w:color="auto"/>
        <w:bottom w:val="none" w:sz="0" w:space="0" w:color="auto"/>
        <w:right w:val="none" w:sz="0" w:space="0" w:color="auto"/>
      </w:divBdr>
    </w:div>
    <w:div w:id="1652169681">
      <w:marLeft w:val="0"/>
      <w:marRight w:val="720"/>
      <w:marTop w:val="10"/>
      <w:marBottom w:val="10"/>
      <w:divBdr>
        <w:top w:val="none" w:sz="0" w:space="0" w:color="auto"/>
        <w:left w:val="none" w:sz="0" w:space="0" w:color="auto"/>
        <w:bottom w:val="none" w:sz="0" w:space="0" w:color="auto"/>
        <w:right w:val="none" w:sz="0" w:space="0" w:color="auto"/>
      </w:divBdr>
    </w:div>
    <w:div w:id="1740710680">
      <w:marLeft w:val="0"/>
      <w:marRight w:val="720"/>
      <w:marTop w:val="10"/>
      <w:marBottom w:val="10"/>
      <w:divBdr>
        <w:top w:val="none" w:sz="0" w:space="0" w:color="auto"/>
        <w:left w:val="none" w:sz="0" w:space="0" w:color="auto"/>
        <w:bottom w:val="none" w:sz="0" w:space="0" w:color="auto"/>
        <w:right w:val="none" w:sz="0" w:space="0" w:color="auto"/>
      </w:divBdr>
    </w:div>
    <w:div w:id="1930504972">
      <w:marLeft w:val="0"/>
      <w:marRight w:val="0"/>
      <w:marTop w:val="10"/>
      <w:marBottom w:val="10"/>
      <w:divBdr>
        <w:top w:val="none" w:sz="0" w:space="0" w:color="auto"/>
        <w:left w:val="none" w:sz="0" w:space="0" w:color="auto"/>
        <w:bottom w:val="none" w:sz="0" w:space="0" w:color="auto"/>
        <w:right w:val="none" w:sz="0" w:space="0" w:color="auto"/>
      </w:divBdr>
    </w:div>
    <w:div w:id="214291762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