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53395">
      <w:pPr>
        <w:spacing w:line="500" w:lineRule="atLeast"/>
        <w:jc w:val="center"/>
        <w:divId w:val="1571384493"/>
        <w:rPr>
          <w:rFonts w:ascii="黑体" w:eastAsia="黑体" w:hAnsi="黑体"/>
          <w:sz w:val="36"/>
          <w:szCs w:val="36"/>
        </w:rPr>
      </w:pPr>
      <w:bookmarkStart w:id="0" w:name="_GoBack"/>
      <w:bookmarkEnd w:id="0"/>
      <w:r>
        <w:rPr>
          <w:rFonts w:ascii="黑体" w:eastAsia="黑体" w:hAnsi="黑体" w:hint="eastAsia"/>
          <w:sz w:val="36"/>
          <w:szCs w:val="36"/>
        </w:rPr>
        <w:t>广西壮族自治区高级人民法院</w:t>
      </w:r>
    </w:p>
    <w:p w:rsidR="00000000" w:rsidRDefault="00853395">
      <w:pPr>
        <w:spacing w:line="500" w:lineRule="atLeast"/>
        <w:jc w:val="center"/>
        <w:divId w:val="112946888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53395">
      <w:pPr>
        <w:spacing w:line="500" w:lineRule="atLeast"/>
        <w:jc w:val="right"/>
        <w:divId w:val="50424233"/>
        <w:rPr>
          <w:rFonts w:hint="eastAsia"/>
          <w:sz w:val="30"/>
          <w:szCs w:val="30"/>
        </w:rPr>
      </w:pPr>
      <w:r>
        <w:rPr>
          <w:rFonts w:hint="eastAsia"/>
          <w:sz w:val="30"/>
          <w:szCs w:val="30"/>
        </w:rPr>
        <w:t>（</w:t>
      </w:r>
      <w:r>
        <w:rPr>
          <w:rFonts w:hint="eastAsia"/>
          <w:sz w:val="30"/>
          <w:szCs w:val="30"/>
        </w:rPr>
        <w:t>2020</w:t>
      </w:r>
      <w:r>
        <w:rPr>
          <w:rFonts w:hint="eastAsia"/>
          <w:sz w:val="30"/>
          <w:szCs w:val="30"/>
        </w:rPr>
        <w:t>）桂民申</w:t>
      </w:r>
      <w:r>
        <w:rPr>
          <w:rFonts w:hint="eastAsia"/>
          <w:sz w:val="30"/>
          <w:szCs w:val="30"/>
        </w:rPr>
        <w:t>494</w:t>
      </w:r>
      <w:r>
        <w:rPr>
          <w:rFonts w:hint="eastAsia"/>
          <w:sz w:val="30"/>
          <w:szCs w:val="30"/>
        </w:rPr>
        <w:t>号</w:t>
      </w:r>
    </w:p>
    <w:p w:rsidR="00000000" w:rsidRDefault="00853395">
      <w:pPr>
        <w:spacing w:line="500" w:lineRule="atLeast"/>
        <w:ind w:firstLine="600"/>
        <w:divId w:val="218513232"/>
        <w:rPr>
          <w:rFonts w:hint="eastAsia"/>
          <w:sz w:val="30"/>
          <w:szCs w:val="30"/>
        </w:rPr>
      </w:pPr>
      <w:r>
        <w:rPr>
          <w:rFonts w:hint="eastAsia"/>
          <w:sz w:val="30"/>
          <w:szCs w:val="30"/>
        </w:rPr>
        <w:t>再审申请人（一审原告、二审上诉人）：陈琴肖，女，</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日出生，汉族，住浙江省苍南县。</w:t>
      </w:r>
    </w:p>
    <w:p w:rsidR="00000000" w:rsidRDefault="00853395">
      <w:pPr>
        <w:spacing w:line="500" w:lineRule="atLeast"/>
        <w:ind w:firstLine="600"/>
        <w:divId w:val="5138318"/>
        <w:rPr>
          <w:rFonts w:hint="eastAsia"/>
          <w:sz w:val="30"/>
          <w:szCs w:val="30"/>
        </w:rPr>
      </w:pPr>
      <w:r>
        <w:rPr>
          <w:rFonts w:hint="eastAsia"/>
          <w:sz w:val="30"/>
          <w:szCs w:val="30"/>
        </w:rPr>
        <w:t>再审申请人（一审原告、二审上诉人）：许良上，男，</w:t>
      </w:r>
      <w:r>
        <w:rPr>
          <w:rFonts w:hint="eastAsia"/>
          <w:sz w:val="30"/>
          <w:szCs w:val="30"/>
        </w:rPr>
        <w:t>1938</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日出生，汉族，住浙江省苍南县。</w:t>
      </w:r>
    </w:p>
    <w:p w:rsidR="00000000" w:rsidRDefault="00853395">
      <w:pPr>
        <w:spacing w:line="500" w:lineRule="atLeast"/>
        <w:ind w:firstLine="600"/>
        <w:divId w:val="1622804910"/>
        <w:rPr>
          <w:rFonts w:hint="eastAsia"/>
          <w:sz w:val="30"/>
          <w:szCs w:val="30"/>
        </w:rPr>
      </w:pPr>
      <w:r>
        <w:rPr>
          <w:rFonts w:hint="eastAsia"/>
          <w:sz w:val="30"/>
          <w:szCs w:val="30"/>
        </w:rPr>
        <w:t>再审申请人（一审原告、二审上诉人）：郑和花，女，</w:t>
      </w:r>
      <w:r>
        <w:rPr>
          <w:rFonts w:hint="eastAsia"/>
          <w:sz w:val="30"/>
          <w:szCs w:val="30"/>
        </w:rPr>
        <w:t>1945</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日出生，汉族，住浙江省苍南县。</w:t>
      </w:r>
    </w:p>
    <w:p w:rsidR="00000000" w:rsidRDefault="00853395">
      <w:pPr>
        <w:spacing w:line="500" w:lineRule="atLeast"/>
        <w:ind w:firstLine="600"/>
        <w:divId w:val="1523664431"/>
        <w:rPr>
          <w:rFonts w:hint="eastAsia"/>
          <w:sz w:val="30"/>
          <w:szCs w:val="30"/>
        </w:rPr>
      </w:pPr>
      <w:r>
        <w:rPr>
          <w:rFonts w:hint="eastAsia"/>
          <w:sz w:val="30"/>
          <w:szCs w:val="30"/>
        </w:rPr>
        <w:t>再审申请人（一审原告、二审上诉人）：许益鹏，男，</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日出生，汉族，住浙江省苍南县。</w:t>
      </w:r>
    </w:p>
    <w:p w:rsidR="00000000" w:rsidRDefault="00853395">
      <w:pPr>
        <w:spacing w:line="500" w:lineRule="atLeast"/>
        <w:ind w:firstLine="600"/>
        <w:divId w:val="97991130"/>
        <w:rPr>
          <w:rFonts w:hint="eastAsia"/>
          <w:sz w:val="30"/>
          <w:szCs w:val="30"/>
        </w:rPr>
      </w:pPr>
      <w:r>
        <w:rPr>
          <w:rFonts w:hint="eastAsia"/>
          <w:sz w:val="30"/>
          <w:szCs w:val="30"/>
        </w:rPr>
        <w:t>以上四再审申请人共同委托诉讼代理人：陆庆标，广西科豪律师事务所律师。</w:t>
      </w:r>
    </w:p>
    <w:p w:rsidR="00000000" w:rsidRDefault="00853395">
      <w:pPr>
        <w:spacing w:line="500" w:lineRule="atLeast"/>
        <w:ind w:firstLine="600"/>
        <w:divId w:val="1972205912"/>
        <w:rPr>
          <w:rFonts w:hint="eastAsia"/>
          <w:sz w:val="30"/>
          <w:szCs w:val="30"/>
        </w:rPr>
      </w:pPr>
      <w:r>
        <w:rPr>
          <w:rFonts w:hint="eastAsia"/>
          <w:sz w:val="30"/>
          <w:szCs w:val="30"/>
        </w:rPr>
        <w:t>以上四再审申请人共同委托诉讼代理人：覃杰广，广西科豪律师事务所实习律师。</w:t>
      </w:r>
    </w:p>
    <w:p w:rsidR="00000000" w:rsidRDefault="00853395">
      <w:pPr>
        <w:spacing w:line="500" w:lineRule="atLeast"/>
        <w:ind w:firstLine="600"/>
        <w:divId w:val="1338772772"/>
        <w:rPr>
          <w:rFonts w:hint="eastAsia"/>
          <w:sz w:val="30"/>
          <w:szCs w:val="30"/>
        </w:rPr>
      </w:pPr>
      <w:r>
        <w:rPr>
          <w:rFonts w:hint="eastAsia"/>
          <w:sz w:val="30"/>
          <w:szCs w:val="30"/>
        </w:rPr>
        <w:t>被申请人（一审被告、二审被上诉人）：巴马瑶族自治县人民医院，住所地广西巴马瑶族自治县巴马镇新兴街</w:t>
      </w:r>
      <w:r>
        <w:rPr>
          <w:rFonts w:hint="eastAsia"/>
          <w:sz w:val="30"/>
          <w:szCs w:val="30"/>
        </w:rPr>
        <w:t>186</w:t>
      </w:r>
      <w:r>
        <w:rPr>
          <w:rFonts w:hint="eastAsia"/>
          <w:sz w:val="30"/>
          <w:szCs w:val="30"/>
        </w:rPr>
        <w:t>号。</w:t>
      </w:r>
    </w:p>
    <w:p w:rsidR="00000000" w:rsidRDefault="00853395">
      <w:pPr>
        <w:spacing w:line="500" w:lineRule="atLeast"/>
        <w:ind w:firstLine="600"/>
        <w:divId w:val="826095520"/>
        <w:rPr>
          <w:rFonts w:hint="eastAsia"/>
          <w:sz w:val="30"/>
          <w:szCs w:val="30"/>
        </w:rPr>
      </w:pPr>
      <w:r>
        <w:rPr>
          <w:rFonts w:hint="eastAsia"/>
          <w:sz w:val="30"/>
          <w:szCs w:val="30"/>
        </w:rPr>
        <w:t>法定代表人：岑丹洁，院长。</w:t>
      </w:r>
    </w:p>
    <w:p w:rsidR="00000000" w:rsidRDefault="00853395">
      <w:pPr>
        <w:spacing w:line="500" w:lineRule="atLeast"/>
        <w:ind w:firstLine="600"/>
        <w:divId w:val="139545858"/>
        <w:rPr>
          <w:rFonts w:hint="eastAsia"/>
          <w:sz w:val="30"/>
          <w:szCs w:val="30"/>
        </w:rPr>
      </w:pPr>
      <w:r>
        <w:rPr>
          <w:rFonts w:hint="eastAsia"/>
          <w:sz w:val="30"/>
          <w:szCs w:val="30"/>
        </w:rPr>
        <w:t>委托诉讼代理人：袁海强，广西成一律师事务所律师。</w:t>
      </w:r>
    </w:p>
    <w:p w:rsidR="00000000" w:rsidRDefault="00853395">
      <w:pPr>
        <w:spacing w:line="500" w:lineRule="atLeast"/>
        <w:ind w:firstLine="600"/>
        <w:divId w:val="1595893889"/>
        <w:rPr>
          <w:rFonts w:hint="eastAsia"/>
          <w:sz w:val="30"/>
          <w:szCs w:val="30"/>
        </w:rPr>
      </w:pPr>
      <w:r>
        <w:rPr>
          <w:rFonts w:hint="eastAsia"/>
          <w:sz w:val="30"/>
          <w:szCs w:val="30"/>
        </w:rPr>
        <w:t>再审申请人陈琴肖、许良上、郑和花、许益鹏等四人（下称陈琴肖等四人）因与被申请人巴马瑶族自治县人民医院（下称巴马县医院）医疗事故损害责任纠纷一案，不服广西壮族自治区河池市中级人民法院（</w:t>
      </w:r>
      <w:r>
        <w:rPr>
          <w:rFonts w:hint="eastAsia"/>
          <w:sz w:val="30"/>
          <w:szCs w:val="30"/>
        </w:rPr>
        <w:t>2019</w:t>
      </w:r>
      <w:r>
        <w:rPr>
          <w:rFonts w:hint="eastAsia"/>
          <w:sz w:val="30"/>
          <w:szCs w:val="30"/>
        </w:rPr>
        <w:t>）桂</w:t>
      </w:r>
      <w:r>
        <w:rPr>
          <w:rFonts w:hint="eastAsia"/>
          <w:sz w:val="30"/>
          <w:szCs w:val="30"/>
        </w:rPr>
        <w:t>12</w:t>
      </w:r>
      <w:r>
        <w:rPr>
          <w:rFonts w:hint="eastAsia"/>
          <w:sz w:val="30"/>
          <w:szCs w:val="30"/>
        </w:rPr>
        <w:t>民终</w:t>
      </w:r>
      <w:r>
        <w:rPr>
          <w:rFonts w:hint="eastAsia"/>
          <w:sz w:val="30"/>
          <w:szCs w:val="30"/>
        </w:rPr>
        <w:t>1362</w:t>
      </w:r>
      <w:r>
        <w:rPr>
          <w:rFonts w:hint="eastAsia"/>
          <w:sz w:val="30"/>
          <w:szCs w:val="30"/>
        </w:rPr>
        <w:t>号民事判决，向本院申请再审。本院依法组成合议庭进行了审查，现已审查终结。</w:t>
      </w:r>
    </w:p>
    <w:p w:rsidR="00000000" w:rsidRDefault="00853395">
      <w:pPr>
        <w:spacing w:line="500" w:lineRule="atLeast"/>
        <w:ind w:firstLine="600"/>
        <w:divId w:val="865097535"/>
        <w:rPr>
          <w:rFonts w:hint="eastAsia"/>
          <w:sz w:val="30"/>
          <w:szCs w:val="30"/>
        </w:rPr>
      </w:pPr>
      <w:r>
        <w:rPr>
          <w:rFonts w:hint="eastAsia"/>
          <w:sz w:val="30"/>
          <w:szCs w:val="30"/>
        </w:rPr>
        <w:t>陈琴肖等四人申请再审称，（一）二审法院适用法律错误，二审判决已经推定巴马县医院存在过错，根据《中华人民</w:t>
      </w:r>
      <w:r>
        <w:rPr>
          <w:rFonts w:hint="eastAsia"/>
          <w:sz w:val="30"/>
          <w:szCs w:val="30"/>
        </w:rPr>
        <w:lastRenderedPageBreak/>
        <w:t>共和国侵权责任法》第六条，根据法律规定推定行为人有过错，行为人不能证明自己没有过错的，应当承担侵权责任，巴马县医院没有提出任何证据证明其无过错，故其应承担侵权责任。（二）原审判决申请人承担举证不能的不利后果是错误的，巴马县医院提供的病历不符合客观、真实、准确、及时、完整、规范等要求，是导致不能委托司法鉴定机</w:t>
      </w:r>
      <w:r>
        <w:rPr>
          <w:rFonts w:hint="eastAsia"/>
          <w:sz w:val="30"/>
          <w:szCs w:val="30"/>
        </w:rPr>
        <w:t>构对诊疗行为与死亡之间是否存在因果关系进行鉴定的唯一原因，对此巴马县医院应当承担法律责任。综上，申请再审本案，撤销原审判决，改判支持申请人的诉讼请求。</w:t>
      </w:r>
    </w:p>
    <w:p w:rsidR="00000000" w:rsidRDefault="00853395">
      <w:pPr>
        <w:spacing w:line="500" w:lineRule="atLeast"/>
        <w:ind w:firstLine="600"/>
        <w:divId w:val="503473218"/>
        <w:rPr>
          <w:rFonts w:hint="eastAsia"/>
          <w:sz w:val="30"/>
          <w:szCs w:val="30"/>
        </w:rPr>
      </w:pPr>
      <w:r>
        <w:rPr>
          <w:rFonts w:hint="eastAsia"/>
          <w:sz w:val="30"/>
          <w:szCs w:val="30"/>
        </w:rPr>
        <w:t>被申请人巴马县医院辩称，原审认定事实清楚，适用法律正确，审理程序合法。被申请人采取的诊疗措施符合医疗卫生管理法律、行政法规、部门规章及诊疗护理常规，已经尽到与被申请人医疗技术水平相应的诊疗义务，不存在过错，其诊疗行为与许道安的死亡不存在因果关系。陈琴肖等四人的再审请求无事实和法律依据，请求驳回其再审申请。</w:t>
      </w:r>
    </w:p>
    <w:p w:rsidR="00000000" w:rsidRDefault="00853395">
      <w:pPr>
        <w:spacing w:line="500" w:lineRule="atLeast"/>
        <w:ind w:firstLine="600"/>
        <w:divId w:val="1297494384"/>
        <w:rPr>
          <w:rFonts w:hint="eastAsia"/>
          <w:sz w:val="30"/>
          <w:szCs w:val="30"/>
        </w:rPr>
      </w:pPr>
      <w:r>
        <w:rPr>
          <w:rFonts w:hint="eastAsia"/>
          <w:sz w:val="30"/>
          <w:szCs w:val="30"/>
        </w:rPr>
        <w:t>本院经审查认为，认定医疗损害责任成立的构成要件有：医</w:t>
      </w:r>
      <w:r>
        <w:rPr>
          <w:rFonts w:hint="eastAsia"/>
          <w:sz w:val="30"/>
          <w:szCs w:val="30"/>
        </w:rPr>
        <w:t>院实施医疗行为、患者发生损害后果、医院存在过错、过错医疗行为与患者的损害后果之间有因果关系。本案的关键在于认定巴马县医院是否存在过错以及巴马县医院的诊疗行为与许道安的死亡之间是否有因果关系。首先，关于过错的认定，根据《中华人民共和国侵权责任法》第五十八条的规定，本案申请人并没有提供充分的证据证明巴马县医院的诊疗行为违反法律、行政法规、规章以及其他有关诊疗规范，同时也没有证据证明医院隐匿、伪造、篡改或者销毁病历资料，申请人称巴马县医院在诊疗过程中存在过错，依据不足。巴马县医院在许道安的病历中没有在“执行医嘱”</w:t>
      </w:r>
      <w:r>
        <w:rPr>
          <w:rFonts w:hint="eastAsia"/>
          <w:sz w:val="30"/>
          <w:szCs w:val="30"/>
        </w:rPr>
        <w:t>一栏上记录执行医嘱“时间”和执行者“签名”、在许道安死亡之后仍有医生的开药记录、</w:t>
      </w:r>
      <w:r>
        <w:rPr>
          <w:rFonts w:hint="eastAsia"/>
          <w:sz w:val="30"/>
          <w:szCs w:val="30"/>
        </w:rPr>
        <w:lastRenderedPageBreak/>
        <w:t>封存的部分药瓶中标明用药时间为许道安死亡之后以及没有提供死亡讨论记录，属于诊疗中的瑕疵行为，并非侵权责任法上的过错，二审将巴马医院存在的上述不规范诊疗行为推定为法律上的过错不当，本院予以指出。其次，关于因果关系的认定，一审法院曾组织双方进行医疗过错司法鉴定，但因申请人不同意选送病历资料以及封存的药物标本作为鉴定材料，也不同意对病历资料的真实性进行鉴定，导致鉴定无法进行，仅根据尸检报告中“许道安符合血管破裂出血致心脏压塞死亡”的死</w:t>
      </w:r>
      <w:r>
        <w:rPr>
          <w:rFonts w:hint="eastAsia"/>
          <w:sz w:val="30"/>
          <w:szCs w:val="30"/>
        </w:rPr>
        <w:t>因鉴定意见，无法得出巴马县医院的诊疗行为与许道安的死亡之间存在法律上的因果关系，故原审驳回陈肖琴等四人要求巴马县医院赔偿因许道安死亡造成的经济损失的诉讼请求，并无不当。申请人请求再审本案，依据不足，本院不予支持。</w:t>
      </w:r>
    </w:p>
    <w:p w:rsidR="00000000" w:rsidRDefault="00853395">
      <w:pPr>
        <w:spacing w:line="500" w:lineRule="atLeast"/>
        <w:ind w:firstLine="600"/>
        <w:divId w:val="912282203"/>
        <w:rPr>
          <w:rFonts w:hint="eastAsia"/>
          <w:sz w:val="30"/>
          <w:szCs w:val="30"/>
        </w:rPr>
      </w:pPr>
      <w:r>
        <w:rPr>
          <w:rFonts w:hint="eastAsia"/>
          <w:sz w:val="30"/>
          <w:szCs w:val="30"/>
        </w:rPr>
        <w:t>综上，陈琴肖等四人的再审申请不符合《中华人民共和国民事诉讼法》第二百条规定的情形。依照《中华人民共和国民事诉讼法》第二百零四条第一款、《最高人民法院关于适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853395">
      <w:pPr>
        <w:spacing w:line="500" w:lineRule="atLeast"/>
        <w:ind w:firstLine="600"/>
        <w:divId w:val="2076122919"/>
        <w:rPr>
          <w:rFonts w:hint="eastAsia"/>
          <w:sz w:val="30"/>
          <w:szCs w:val="30"/>
        </w:rPr>
      </w:pPr>
      <w:r>
        <w:rPr>
          <w:rFonts w:hint="eastAsia"/>
          <w:sz w:val="30"/>
          <w:szCs w:val="30"/>
        </w:rPr>
        <w:t>驳回陈琴肖、许良上、郑和花、许益鹏的再审申请。</w:t>
      </w:r>
    </w:p>
    <w:p w:rsidR="00000000" w:rsidRDefault="00853395">
      <w:pPr>
        <w:spacing w:line="500" w:lineRule="atLeast"/>
        <w:jc w:val="right"/>
        <w:divId w:val="81075166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覃　龙</w:t>
      </w:r>
    </w:p>
    <w:p w:rsidR="00000000" w:rsidRDefault="00853395">
      <w:pPr>
        <w:spacing w:line="500" w:lineRule="atLeast"/>
        <w:jc w:val="right"/>
        <w:divId w:val="142881596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黄少迪</w:t>
      </w:r>
    </w:p>
    <w:p w:rsidR="00000000" w:rsidRDefault="00853395">
      <w:pPr>
        <w:spacing w:line="500" w:lineRule="atLeast"/>
        <w:jc w:val="right"/>
        <w:divId w:val="210229145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兰丹丹</w:t>
      </w:r>
    </w:p>
    <w:p w:rsidR="00000000" w:rsidRDefault="00853395">
      <w:pPr>
        <w:spacing w:line="500" w:lineRule="atLeast"/>
        <w:jc w:val="right"/>
        <w:divId w:val="1593586170"/>
        <w:rPr>
          <w:rFonts w:hint="eastAsia"/>
          <w:sz w:val="30"/>
          <w:szCs w:val="30"/>
        </w:rPr>
      </w:pPr>
      <w:r>
        <w:rPr>
          <w:rFonts w:hint="eastAsia"/>
          <w:sz w:val="30"/>
          <w:szCs w:val="30"/>
        </w:rPr>
        <w:t>二〇二〇年五月十八日</w:t>
      </w:r>
    </w:p>
    <w:p w:rsidR="00000000" w:rsidRDefault="00853395">
      <w:pPr>
        <w:spacing w:line="500" w:lineRule="atLeast"/>
        <w:jc w:val="right"/>
        <w:divId w:val="1212304666"/>
        <w:rPr>
          <w:rFonts w:hint="eastAsia"/>
          <w:sz w:val="30"/>
          <w:szCs w:val="30"/>
        </w:rPr>
      </w:pPr>
      <w:r>
        <w:rPr>
          <w:rFonts w:hint="eastAsia"/>
          <w:sz w:val="30"/>
          <w:szCs w:val="30"/>
        </w:rPr>
        <w:t>法官助理　　陈雪娇</w:t>
      </w:r>
    </w:p>
    <w:p w:rsidR="00000000" w:rsidRDefault="00853395">
      <w:pPr>
        <w:spacing w:line="500" w:lineRule="atLeast"/>
        <w:jc w:val="right"/>
        <w:divId w:val="252396065"/>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李　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395" w:rsidRDefault="00853395" w:rsidP="00853395">
      <w:r>
        <w:separator/>
      </w:r>
    </w:p>
  </w:endnote>
  <w:endnote w:type="continuationSeparator" w:id="0">
    <w:p w:rsidR="00853395" w:rsidRDefault="00853395" w:rsidP="0085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395" w:rsidRDefault="00853395" w:rsidP="00853395">
      <w:r>
        <w:separator/>
      </w:r>
    </w:p>
  </w:footnote>
  <w:footnote w:type="continuationSeparator" w:id="0">
    <w:p w:rsidR="00853395" w:rsidRDefault="00853395" w:rsidP="00853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53395"/>
    <w:rsid w:val="0085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8533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3395"/>
    <w:rPr>
      <w:rFonts w:ascii="宋体" w:eastAsia="宋体" w:hAnsi="宋体" w:cs="宋体"/>
      <w:sz w:val="18"/>
      <w:szCs w:val="18"/>
    </w:rPr>
  </w:style>
  <w:style w:type="paragraph" w:styleId="a6">
    <w:name w:val="footer"/>
    <w:basedOn w:val="a"/>
    <w:link w:val="a7"/>
    <w:uiPriority w:val="99"/>
    <w:unhideWhenUsed/>
    <w:rsid w:val="00853395"/>
    <w:pPr>
      <w:tabs>
        <w:tab w:val="center" w:pos="4153"/>
        <w:tab w:val="right" w:pos="8306"/>
      </w:tabs>
      <w:snapToGrid w:val="0"/>
    </w:pPr>
    <w:rPr>
      <w:sz w:val="18"/>
      <w:szCs w:val="18"/>
    </w:rPr>
  </w:style>
  <w:style w:type="character" w:customStyle="1" w:styleId="a7">
    <w:name w:val="页脚 字符"/>
    <w:basedOn w:val="a0"/>
    <w:link w:val="a6"/>
    <w:uiPriority w:val="99"/>
    <w:rsid w:val="0085339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318">
      <w:marLeft w:val="0"/>
      <w:marRight w:val="0"/>
      <w:marTop w:val="10"/>
      <w:marBottom w:val="10"/>
      <w:divBdr>
        <w:top w:val="none" w:sz="0" w:space="0" w:color="auto"/>
        <w:left w:val="none" w:sz="0" w:space="0" w:color="auto"/>
        <w:bottom w:val="none" w:sz="0" w:space="0" w:color="auto"/>
        <w:right w:val="none" w:sz="0" w:space="0" w:color="auto"/>
      </w:divBdr>
    </w:div>
    <w:div w:id="50424233">
      <w:marLeft w:val="0"/>
      <w:marRight w:val="0"/>
      <w:marTop w:val="10"/>
      <w:marBottom w:val="10"/>
      <w:divBdr>
        <w:top w:val="none" w:sz="0" w:space="0" w:color="auto"/>
        <w:left w:val="none" w:sz="0" w:space="0" w:color="auto"/>
        <w:bottom w:val="none" w:sz="0" w:space="0" w:color="auto"/>
        <w:right w:val="none" w:sz="0" w:space="0" w:color="auto"/>
      </w:divBdr>
    </w:div>
    <w:div w:id="97991130">
      <w:marLeft w:val="0"/>
      <w:marRight w:val="0"/>
      <w:marTop w:val="10"/>
      <w:marBottom w:val="10"/>
      <w:divBdr>
        <w:top w:val="none" w:sz="0" w:space="0" w:color="auto"/>
        <w:left w:val="none" w:sz="0" w:space="0" w:color="auto"/>
        <w:bottom w:val="none" w:sz="0" w:space="0" w:color="auto"/>
        <w:right w:val="none" w:sz="0" w:space="0" w:color="auto"/>
      </w:divBdr>
    </w:div>
    <w:div w:id="139545858">
      <w:marLeft w:val="0"/>
      <w:marRight w:val="0"/>
      <w:marTop w:val="10"/>
      <w:marBottom w:val="10"/>
      <w:divBdr>
        <w:top w:val="none" w:sz="0" w:space="0" w:color="auto"/>
        <w:left w:val="none" w:sz="0" w:space="0" w:color="auto"/>
        <w:bottom w:val="none" w:sz="0" w:space="0" w:color="auto"/>
        <w:right w:val="none" w:sz="0" w:space="0" w:color="auto"/>
      </w:divBdr>
    </w:div>
    <w:div w:id="218513232">
      <w:marLeft w:val="0"/>
      <w:marRight w:val="0"/>
      <w:marTop w:val="10"/>
      <w:marBottom w:val="10"/>
      <w:divBdr>
        <w:top w:val="none" w:sz="0" w:space="0" w:color="auto"/>
        <w:left w:val="none" w:sz="0" w:space="0" w:color="auto"/>
        <w:bottom w:val="none" w:sz="0" w:space="0" w:color="auto"/>
        <w:right w:val="none" w:sz="0" w:space="0" w:color="auto"/>
      </w:divBdr>
    </w:div>
    <w:div w:id="252396065">
      <w:marLeft w:val="0"/>
      <w:marRight w:val="720"/>
      <w:marTop w:val="10"/>
      <w:marBottom w:val="10"/>
      <w:divBdr>
        <w:top w:val="none" w:sz="0" w:space="0" w:color="auto"/>
        <w:left w:val="none" w:sz="0" w:space="0" w:color="auto"/>
        <w:bottom w:val="none" w:sz="0" w:space="0" w:color="auto"/>
        <w:right w:val="none" w:sz="0" w:space="0" w:color="auto"/>
      </w:divBdr>
    </w:div>
    <w:div w:id="503473218">
      <w:marLeft w:val="0"/>
      <w:marRight w:val="0"/>
      <w:marTop w:val="10"/>
      <w:marBottom w:val="10"/>
      <w:divBdr>
        <w:top w:val="none" w:sz="0" w:space="0" w:color="auto"/>
        <w:left w:val="none" w:sz="0" w:space="0" w:color="auto"/>
        <w:bottom w:val="none" w:sz="0" w:space="0" w:color="auto"/>
        <w:right w:val="none" w:sz="0" w:space="0" w:color="auto"/>
      </w:divBdr>
    </w:div>
    <w:div w:id="810751667">
      <w:marLeft w:val="0"/>
      <w:marRight w:val="720"/>
      <w:marTop w:val="10"/>
      <w:marBottom w:val="10"/>
      <w:divBdr>
        <w:top w:val="none" w:sz="0" w:space="0" w:color="auto"/>
        <w:left w:val="none" w:sz="0" w:space="0" w:color="auto"/>
        <w:bottom w:val="none" w:sz="0" w:space="0" w:color="auto"/>
        <w:right w:val="none" w:sz="0" w:space="0" w:color="auto"/>
      </w:divBdr>
    </w:div>
    <w:div w:id="826095520">
      <w:marLeft w:val="0"/>
      <w:marRight w:val="0"/>
      <w:marTop w:val="10"/>
      <w:marBottom w:val="10"/>
      <w:divBdr>
        <w:top w:val="none" w:sz="0" w:space="0" w:color="auto"/>
        <w:left w:val="none" w:sz="0" w:space="0" w:color="auto"/>
        <w:bottom w:val="none" w:sz="0" w:space="0" w:color="auto"/>
        <w:right w:val="none" w:sz="0" w:space="0" w:color="auto"/>
      </w:divBdr>
    </w:div>
    <w:div w:id="865097535">
      <w:marLeft w:val="0"/>
      <w:marRight w:val="0"/>
      <w:marTop w:val="10"/>
      <w:marBottom w:val="10"/>
      <w:divBdr>
        <w:top w:val="none" w:sz="0" w:space="0" w:color="auto"/>
        <w:left w:val="none" w:sz="0" w:space="0" w:color="auto"/>
        <w:bottom w:val="none" w:sz="0" w:space="0" w:color="auto"/>
        <w:right w:val="none" w:sz="0" w:space="0" w:color="auto"/>
      </w:divBdr>
    </w:div>
    <w:div w:id="912282203">
      <w:marLeft w:val="0"/>
      <w:marRight w:val="0"/>
      <w:marTop w:val="10"/>
      <w:marBottom w:val="10"/>
      <w:divBdr>
        <w:top w:val="none" w:sz="0" w:space="0" w:color="auto"/>
        <w:left w:val="none" w:sz="0" w:space="0" w:color="auto"/>
        <w:bottom w:val="none" w:sz="0" w:space="0" w:color="auto"/>
        <w:right w:val="none" w:sz="0" w:space="0" w:color="auto"/>
      </w:divBdr>
    </w:div>
    <w:div w:id="1129468887">
      <w:marLeft w:val="0"/>
      <w:marRight w:val="0"/>
      <w:marTop w:val="10"/>
      <w:marBottom w:val="10"/>
      <w:divBdr>
        <w:top w:val="none" w:sz="0" w:space="0" w:color="auto"/>
        <w:left w:val="none" w:sz="0" w:space="0" w:color="auto"/>
        <w:bottom w:val="none" w:sz="0" w:space="0" w:color="auto"/>
        <w:right w:val="none" w:sz="0" w:space="0" w:color="auto"/>
      </w:divBdr>
    </w:div>
    <w:div w:id="1212304666">
      <w:marLeft w:val="0"/>
      <w:marRight w:val="720"/>
      <w:marTop w:val="10"/>
      <w:marBottom w:val="10"/>
      <w:divBdr>
        <w:top w:val="none" w:sz="0" w:space="0" w:color="auto"/>
        <w:left w:val="none" w:sz="0" w:space="0" w:color="auto"/>
        <w:bottom w:val="none" w:sz="0" w:space="0" w:color="auto"/>
        <w:right w:val="none" w:sz="0" w:space="0" w:color="auto"/>
      </w:divBdr>
    </w:div>
    <w:div w:id="1297494384">
      <w:marLeft w:val="0"/>
      <w:marRight w:val="0"/>
      <w:marTop w:val="10"/>
      <w:marBottom w:val="10"/>
      <w:divBdr>
        <w:top w:val="none" w:sz="0" w:space="0" w:color="auto"/>
        <w:left w:val="none" w:sz="0" w:space="0" w:color="auto"/>
        <w:bottom w:val="none" w:sz="0" w:space="0" w:color="auto"/>
        <w:right w:val="none" w:sz="0" w:space="0" w:color="auto"/>
      </w:divBdr>
    </w:div>
    <w:div w:id="1338772772">
      <w:marLeft w:val="0"/>
      <w:marRight w:val="0"/>
      <w:marTop w:val="10"/>
      <w:marBottom w:val="10"/>
      <w:divBdr>
        <w:top w:val="none" w:sz="0" w:space="0" w:color="auto"/>
        <w:left w:val="none" w:sz="0" w:space="0" w:color="auto"/>
        <w:bottom w:val="none" w:sz="0" w:space="0" w:color="auto"/>
        <w:right w:val="none" w:sz="0" w:space="0" w:color="auto"/>
      </w:divBdr>
    </w:div>
    <w:div w:id="1428815968">
      <w:marLeft w:val="0"/>
      <w:marRight w:val="720"/>
      <w:marTop w:val="10"/>
      <w:marBottom w:val="10"/>
      <w:divBdr>
        <w:top w:val="none" w:sz="0" w:space="0" w:color="auto"/>
        <w:left w:val="none" w:sz="0" w:space="0" w:color="auto"/>
        <w:bottom w:val="none" w:sz="0" w:space="0" w:color="auto"/>
        <w:right w:val="none" w:sz="0" w:space="0" w:color="auto"/>
      </w:divBdr>
    </w:div>
    <w:div w:id="1523664431">
      <w:marLeft w:val="0"/>
      <w:marRight w:val="0"/>
      <w:marTop w:val="10"/>
      <w:marBottom w:val="10"/>
      <w:divBdr>
        <w:top w:val="none" w:sz="0" w:space="0" w:color="auto"/>
        <w:left w:val="none" w:sz="0" w:space="0" w:color="auto"/>
        <w:bottom w:val="none" w:sz="0" w:space="0" w:color="auto"/>
        <w:right w:val="none" w:sz="0" w:space="0" w:color="auto"/>
      </w:divBdr>
    </w:div>
    <w:div w:id="1571384493">
      <w:marLeft w:val="0"/>
      <w:marRight w:val="0"/>
      <w:marTop w:val="10"/>
      <w:marBottom w:val="10"/>
      <w:divBdr>
        <w:top w:val="none" w:sz="0" w:space="0" w:color="auto"/>
        <w:left w:val="none" w:sz="0" w:space="0" w:color="auto"/>
        <w:bottom w:val="none" w:sz="0" w:space="0" w:color="auto"/>
        <w:right w:val="none" w:sz="0" w:space="0" w:color="auto"/>
      </w:divBdr>
    </w:div>
    <w:div w:id="1593586170">
      <w:marLeft w:val="0"/>
      <w:marRight w:val="720"/>
      <w:marTop w:val="10"/>
      <w:marBottom w:val="10"/>
      <w:divBdr>
        <w:top w:val="none" w:sz="0" w:space="0" w:color="auto"/>
        <w:left w:val="none" w:sz="0" w:space="0" w:color="auto"/>
        <w:bottom w:val="none" w:sz="0" w:space="0" w:color="auto"/>
        <w:right w:val="none" w:sz="0" w:space="0" w:color="auto"/>
      </w:divBdr>
    </w:div>
    <w:div w:id="1595893889">
      <w:marLeft w:val="0"/>
      <w:marRight w:val="0"/>
      <w:marTop w:val="10"/>
      <w:marBottom w:val="10"/>
      <w:divBdr>
        <w:top w:val="none" w:sz="0" w:space="0" w:color="auto"/>
        <w:left w:val="none" w:sz="0" w:space="0" w:color="auto"/>
        <w:bottom w:val="none" w:sz="0" w:space="0" w:color="auto"/>
        <w:right w:val="none" w:sz="0" w:space="0" w:color="auto"/>
      </w:divBdr>
    </w:div>
    <w:div w:id="1622804910">
      <w:marLeft w:val="0"/>
      <w:marRight w:val="0"/>
      <w:marTop w:val="10"/>
      <w:marBottom w:val="10"/>
      <w:divBdr>
        <w:top w:val="none" w:sz="0" w:space="0" w:color="auto"/>
        <w:left w:val="none" w:sz="0" w:space="0" w:color="auto"/>
        <w:bottom w:val="none" w:sz="0" w:space="0" w:color="auto"/>
        <w:right w:val="none" w:sz="0" w:space="0" w:color="auto"/>
      </w:divBdr>
    </w:div>
    <w:div w:id="1972205912">
      <w:marLeft w:val="0"/>
      <w:marRight w:val="0"/>
      <w:marTop w:val="10"/>
      <w:marBottom w:val="10"/>
      <w:divBdr>
        <w:top w:val="none" w:sz="0" w:space="0" w:color="auto"/>
        <w:left w:val="none" w:sz="0" w:space="0" w:color="auto"/>
        <w:bottom w:val="none" w:sz="0" w:space="0" w:color="auto"/>
        <w:right w:val="none" w:sz="0" w:space="0" w:color="auto"/>
      </w:divBdr>
    </w:div>
    <w:div w:id="2076122919">
      <w:marLeft w:val="0"/>
      <w:marRight w:val="0"/>
      <w:marTop w:val="10"/>
      <w:marBottom w:val="10"/>
      <w:divBdr>
        <w:top w:val="none" w:sz="0" w:space="0" w:color="auto"/>
        <w:left w:val="none" w:sz="0" w:space="0" w:color="auto"/>
        <w:bottom w:val="none" w:sz="0" w:space="0" w:color="auto"/>
        <w:right w:val="none" w:sz="0" w:space="0" w:color="auto"/>
      </w:divBdr>
    </w:div>
    <w:div w:id="210229145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