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70967">
      <w:pPr>
        <w:spacing w:line="500" w:lineRule="atLeast"/>
        <w:jc w:val="center"/>
        <w:divId w:val="502208688"/>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C70967">
      <w:pPr>
        <w:spacing w:line="500" w:lineRule="atLeast"/>
        <w:jc w:val="center"/>
        <w:divId w:val="5995278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70967">
      <w:pPr>
        <w:spacing w:line="500" w:lineRule="atLeast"/>
        <w:jc w:val="right"/>
        <w:divId w:val="710223825"/>
        <w:rPr>
          <w:rFonts w:hint="eastAsia"/>
          <w:sz w:val="30"/>
          <w:szCs w:val="30"/>
        </w:rPr>
      </w:pPr>
      <w:r>
        <w:rPr>
          <w:rFonts w:hint="eastAsia"/>
          <w:sz w:val="30"/>
          <w:szCs w:val="30"/>
        </w:rPr>
        <w:t>（</w:t>
      </w:r>
      <w:r>
        <w:rPr>
          <w:rFonts w:hint="eastAsia"/>
          <w:sz w:val="30"/>
          <w:szCs w:val="30"/>
        </w:rPr>
        <w:t>2020</w:t>
      </w:r>
      <w:r>
        <w:rPr>
          <w:rFonts w:hint="eastAsia"/>
          <w:sz w:val="30"/>
          <w:szCs w:val="30"/>
        </w:rPr>
        <w:t>）苏民申</w:t>
      </w:r>
      <w:r>
        <w:rPr>
          <w:rFonts w:hint="eastAsia"/>
          <w:sz w:val="30"/>
          <w:szCs w:val="30"/>
        </w:rPr>
        <w:t>2404</w:t>
      </w:r>
      <w:r>
        <w:rPr>
          <w:rFonts w:hint="eastAsia"/>
          <w:sz w:val="30"/>
          <w:szCs w:val="30"/>
        </w:rPr>
        <w:t>号</w:t>
      </w:r>
    </w:p>
    <w:p w:rsidR="00000000" w:rsidRDefault="00C70967">
      <w:pPr>
        <w:spacing w:line="500" w:lineRule="atLeast"/>
        <w:ind w:firstLine="600"/>
        <w:divId w:val="150416675"/>
        <w:rPr>
          <w:rFonts w:hint="eastAsia"/>
          <w:sz w:val="30"/>
          <w:szCs w:val="30"/>
        </w:rPr>
      </w:pPr>
      <w:r>
        <w:rPr>
          <w:rFonts w:hint="eastAsia"/>
          <w:sz w:val="30"/>
          <w:szCs w:val="30"/>
        </w:rPr>
        <w:t>再审申请人（一审原告、二审上诉人）：陶雅，女，</w:t>
      </w:r>
      <w:r>
        <w:rPr>
          <w:rFonts w:hint="eastAsia"/>
          <w:sz w:val="30"/>
          <w:szCs w:val="30"/>
        </w:rPr>
        <w:t>1989</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日出生，汉族，住江苏省扬州市邗江区。</w:t>
      </w:r>
    </w:p>
    <w:p w:rsidR="00000000" w:rsidRDefault="00C70967">
      <w:pPr>
        <w:spacing w:line="500" w:lineRule="atLeast"/>
        <w:ind w:firstLine="600"/>
        <w:divId w:val="618224838"/>
        <w:rPr>
          <w:rFonts w:hint="eastAsia"/>
          <w:sz w:val="30"/>
          <w:szCs w:val="30"/>
        </w:rPr>
      </w:pPr>
      <w:r>
        <w:rPr>
          <w:rFonts w:hint="eastAsia"/>
          <w:sz w:val="30"/>
          <w:szCs w:val="30"/>
        </w:rPr>
        <w:t>被申请人（一审被告、二审上诉人）：扬州市妇幼保健院，住所地江苏省扬州市广陵区国庆路</w:t>
      </w:r>
      <w:r>
        <w:rPr>
          <w:rFonts w:hint="eastAsia"/>
          <w:sz w:val="30"/>
          <w:szCs w:val="30"/>
        </w:rPr>
        <w:t>395</w:t>
      </w:r>
      <w:r>
        <w:rPr>
          <w:rFonts w:hint="eastAsia"/>
          <w:sz w:val="30"/>
          <w:szCs w:val="30"/>
        </w:rPr>
        <w:t>号。</w:t>
      </w:r>
    </w:p>
    <w:p w:rsidR="00000000" w:rsidRDefault="00C70967">
      <w:pPr>
        <w:spacing w:line="500" w:lineRule="atLeast"/>
        <w:ind w:firstLine="600"/>
        <w:divId w:val="851725237"/>
        <w:rPr>
          <w:rFonts w:hint="eastAsia"/>
          <w:sz w:val="30"/>
          <w:szCs w:val="30"/>
        </w:rPr>
      </w:pPr>
      <w:r>
        <w:rPr>
          <w:rFonts w:hint="eastAsia"/>
          <w:sz w:val="30"/>
          <w:szCs w:val="30"/>
        </w:rPr>
        <w:t>法定代表人：许建国，该院院长。</w:t>
      </w:r>
    </w:p>
    <w:p w:rsidR="00000000" w:rsidRDefault="00C70967">
      <w:pPr>
        <w:spacing w:line="500" w:lineRule="atLeast"/>
        <w:ind w:firstLine="600"/>
        <w:divId w:val="2054772757"/>
        <w:rPr>
          <w:rFonts w:hint="eastAsia"/>
          <w:sz w:val="30"/>
          <w:szCs w:val="30"/>
        </w:rPr>
      </w:pPr>
      <w:r>
        <w:rPr>
          <w:rFonts w:hint="eastAsia"/>
          <w:sz w:val="30"/>
          <w:szCs w:val="30"/>
        </w:rPr>
        <w:t>再审申请人陶雅因与被申请人扬州市妇幼保健院（以下简称妇幼保健院）医疗损害赔偿纠纷一案，不服江苏省扬州市中级人民法院（</w:t>
      </w:r>
      <w:r>
        <w:rPr>
          <w:rFonts w:hint="eastAsia"/>
          <w:sz w:val="30"/>
          <w:szCs w:val="30"/>
        </w:rPr>
        <w:t>2019</w:t>
      </w:r>
      <w:r>
        <w:rPr>
          <w:rFonts w:hint="eastAsia"/>
          <w:sz w:val="30"/>
          <w:szCs w:val="30"/>
        </w:rPr>
        <w:t>）苏</w:t>
      </w:r>
      <w:r>
        <w:rPr>
          <w:rFonts w:hint="eastAsia"/>
          <w:sz w:val="30"/>
          <w:szCs w:val="30"/>
        </w:rPr>
        <w:t>10</w:t>
      </w:r>
      <w:r>
        <w:rPr>
          <w:rFonts w:hint="eastAsia"/>
          <w:sz w:val="30"/>
          <w:szCs w:val="30"/>
        </w:rPr>
        <w:t>民终</w:t>
      </w:r>
      <w:r>
        <w:rPr>
          <w:rFonts w:hint="eastAsia"/>
          <w:sz w:val="30"/>
          <w:szCs w:val="30"/>
        </w:rPr>
        <w:t>387</w:t>
      </w:r>
      <w:r>
        <w:rPr>
          <w:rFonts w:hint="eastAsia"/>
          <w:sz w:val="30"/>
          <w:szCs w:val="30"/>
        </w:rPr>
        <w:t>号民事判决，向本院申请再审。本院依法组成合议庭进行了审查，现已审查终结。</w:t>
      </w:r>
    </w:p>
    <w:p w:rsidR="00000000" w:rsidRDefault="00C70967">
      <w:pPr>
        <w:spacing w:line="500" w:lineRule="atLeast"/>
        <w:ind w:firstLine="600"/>
        <w:divId w:val="1066757713"/>
        <w:rPr>
          <w:rFonts w:hint="eastAsia"/>
          <w:sz w:val="30"/>
          <w:szCs w:val="30"/>
        </w:rPr>
      </w:pPr>
      <w:r>
        <w:rPr>
          <w:rFonts w:hint="eastAsia"/>
          <w:sz w:val="30"/>
          <w:szCs w:val="30"/>
        </w:rPr>
        <w:t>陶雅申请再审称，</w:t>
      </w:r>
      <w:r>
        <w:rPr>
          <w:rFonts w:hint="eastAsia"/>
          <w:sz w:val="30"/>
          <w:szCs w:val="30"/>
        </w:rPr>
        <w:t>1.</w:t>
      </w:r>
      <w:r>
        <w:rPr>
          <w:rFonts w:hint="eastAsia"/>
          <w:sz w:val="30"/>
          <w:szCs w:val="30"/>
        </w:rPr>
        <w:t>国家卫计委发布的</w:t>
      </w:r>
      <w:r>
        <w:rPr>
          <w:rFonts w:hint="eastAsia"/>
          <w:sz w:val="30"/>
          <w:szCs w:val="30"/>
        </w:rPr>
        <w:t>2018</w:t>
      </w:r>
      <w:r>
        <w:rPr>
          <w:rFonts w:hint="eastAsia"/>
          <w:sz w:val="30"/>
          <w:szCs w:val="30"/>
        </w:rPr>
        <w:t>年第</w:t>
      </w:r>
      <w:r>
        <w:rPr>
          <w:rFonts w:hint="eastAsia"/>
          <w:sz w:val="30"/>
          <w:szCs w:val="30"/>
        </w:rPr>
        <w:t>1</w:t>
      </w:r>
      <w:r>
        <w:rPr>
          <w:rFonts w:hint="eastAsia"/>
          <w:sz w:val="30"/>
          <w:szCs w:val="30"/>
        </w:rPr>
        <w:t>号公告已经决定《医疗事故分级标准（试行）》不再作为部门规章纳入规范性文件管理的文件目录，故案涉医疗损害应当根据</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日施行的《人体损伤致残程度分级》标准进行鉴定。</w:t>
      </w:r>
      <w:r>
        <w:rPr>
          <w:rFonts w:hint="eastAsia"/>
          <w:sz w:val="30"/>
          <w:szCs w:val="30"/>
        </w:rPr>
        <w:t>2.</w:t>
      </w:r>
      <w:r>
        <w:rPr>
          <w:rFonts w:hint="eastAsia"/>
          <w:sz w:val="30"/>
          <w:szCs w:val="30"/>
        </w:rPr>
        <w:t>陶雅全家承包的土地于</w:t>
      </w:r>
      <w:r>
        <w:rPr>
          <w:rFonts w:hint="eastAsia"/>
          <w:sz w:val="30"/>
          <w:szCs w:val="30"/>
        </w:rPr>
        <w:t>2010</w:t>
      </w:r>
      <w:r>
        <w:rPr>
          <w:rFonts w:hint="eastAsia"/>
          <w:sz w:val="30"/>
          <w:szCs w:val="30"/>
        </w:rPr>
        <w:t>年被征用，房屋被拆迁，陶雅长期与父母居住在</w:t>
      </w:r>
      <w:r>
        <w:rPr>
          <w:rFonts w:hint="eastAsia"/>
          <w:sz w:val="30"/>
          <w:szCs w:val="30"/>
        </w:rPr>
        <w:t>城市，曾先后在数家镇办企业、超市工作并在镇中心区经商，主要生活来源于非农业收入，故陶雅的残疾赔偿金和被扶养人生活费应当按照城镇居民标准计算。二审法院对于陶雅提供的证明失地的证据未予质证与认证。</w:t>
      </w:r>
      <w:r>
        <w:rPr>
          <w:rFonts w:hint="eastAsia"/>
          <w:sz w:val="30"/>
          <w:szCs w:val="30"/>
        </w:rPr>
        <w:t>3.</w:t>
      </w:r>
      <w:r>
        <w:rPr>
          <w:rFonts w:hint="eastAsia"/>
          <w:sz w:val="30"/>
          <w:szCs w:val="30"/>
        </w:rPr>
        <w:t>陶雅没有固定收入，不能以实际减少的收入计算误工费，应当参照受诉法院所在地相同或者相近行业上一年度职工的平均工资计算误工费。</w:t>
      </w:r>
      <w:r>
        <w:rPr>
          <w:rFonts w:hint="eastAsia"/>
          <w:sz w:val="30"/>
          <w:szCs w:val="30"/>
        </w:rPr>
        <w:t>4.</w:t>
      </w:r>
      <w:r>
        <w:rPr>
          <w:rFonts w:hint="eastAsia"/>
          <w:sz w:val="30"/>
          <w:szCs w:val="30"/>
        </w:rPr>
        <w:t>妇幼保健院聘用非医疗卫生人员替陶雅实施手术，未进行术前讨论，应加大其过错责任。</w:t>
      </w:r>
      <w:r>
        <w:rPr>
          <w:rFonts w:hint="eastAsia"/>
          <w:sz w:val="30"/>
          <w:szCs w:val="30"/>
        </w:rPr>
        <w:t>5.</w:t>
      </w:r>
      <w:r>
        <w:rPr>
          <w:rFonts w:hint="eastAsia"/>
          <w:sz w:val="30"/>
          <w:szCs w:val="30"/>
        </w:rPr>
        <w:t>陶雅在起诉时即提出赔礼道歉的诉讼请求，二审判决以变更后的诉讼请求没有该项诉请为由不予支持，与事实不符。</w:t>
      </w:r>
      <w:r>
        <w:rPr>
          <w:rFonts w:hint="eastAsia"/>
          <w:sz w:val="30"/>
          <w:szCs w:val="30"/>
        </w:rPr>
        <w:t>6.</w:t>
      </w:r>
      <w:r>
        <w:rPr>
          <w:rFonts w:hint="eastAsia"/>
          <w:sz w:val="30"/>
          <w:szCs w:val="30"/>
        </w:rPr>
        <w:t>人</w:t>
      </w:r>
      <w:r>
        <w:rPr>
          <w:rFonts w:hint="eastAsia"/>
          <w:sz w:val="30"/>
          <w:szCs w:val="30"/>
        </w:rPr>
        <w:t>身损害赔偿案件的案件受</w:t>
      </w:r>
      <w:r>
        <w:rPr>
          <w:rFonts w:hint="eastAsia"/>
          <w:sz w:val="30"/>
          <w:szCs w:val="30"/>
        </w:rPr>
        <w:lastRenderedPageBreak/>
        <w:t>理费应为每件</w:t>
      </w:r>
      <w:r>
        <w:rPr>
          <w:rFonts w:hint="eastAsia"/>
          <w:sz w:val="30"/>
          <w:szCs w:val="30"/>
        </w:rPr>
        <w:t>50-100</w:t>
      </w:r>
      <w:r>
        <w:rPr>
          <w:rFonts w:hint="eastAsia"/>
          <w:sz w:val="30"/>
          <w:szCs w:val="30"/>
        </w:rPr>
        <w:t>元，一审法院擅自收取案件受理费</w:t>
      </w:r>
      <w:r>
        <w:rPr>
          <w:rFonts w:hint="eastAsia"/>
          <w:sz w:val="30"/>
          <w:szCs w:val="30"/>
        </w:rPr>
        <w:t>3261.18</w:t>
      </w:r>
      <w:r>
        <w:rPr>
          <w:rFonts w:hint="eastAsia"/>
          <w:sz w:val="30"/>
          <w:szCs w:val="30"/>
        </w:rPr>
        <w:t>元，并不开具人民法院诉讼收费专用收据，没有合法依据。请求对本案进行再审。</w:t>
      </w:r>
    </w:p>
    <w:p w:rsidR="00000000" w:rsidRDefault="00C70967">
      <w:pPr>
        <w:spacing w:line="500" w:lineRule="atLeast"/>
        <w:ind w:firstLine="600"/>
        <w:divId w:val="888885458"/>
        <w:rPr>
          <w:rFonts w:hint="eastAsia"/>
          <w:sz w:val="30"/>
          <w:szCs w:val="30"/>
        </w:rPr>
      </w:pPr>
      <w:r>
        <w:rPr>
          <w:rFonts w:hint="eastAsia"/>
          <w:sz w:val="30"/>
          <w:szCs w:val="30"/>
        </w:rPr>
        <w:t>本院经审查认为，</w:t>
      </w:r>
      <w:r>
        <w:rPr>
          <w:rFonts w:hint="eastAsia"/>
          <w:sz w:val="30"/>
          <w:szCs w:val="30"/>
        </w:rPr>
        <w:t>1.</w:t>
      </w:r>
      <w:r>
        <w:rPr>
          <w:rFonts w:hint="eastAsia"/>
          <w:sz w:val="30"/>
          <w:szCs w:val="30"/>
        </w:rPr>
        <w:t>《人体损伤致残程度分级》适用于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日后除工伤以外的交通事故案件、故意伤害案件、雇员损害等人身损害致伤的鉴定，未明确是否适用于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日前发生的医疗损害鉴定，在相关部门明确《人体损伤致残程度分级》的适用范围前，医疗损害鉴定案件涉及伤残等级评定的，仍应当参照适用《医疗事故分级标准（试行）》。一、二审判决未支持陶</w:t>
      </w:r>
      <w:r>
        <w:rPr>
          <w:rFonts w:hint="eastAsia"/>
          <w:sz w:val="30"/>
          <w:szCs w:val="30"/>
        </w:rPr>
        <w:t>雅关于适用《人体损伤致残程度分级》标准进行鉴定的主张，并无不当。</w:t>
      </w:r>
      <w:r>
        <w:rPr>
          <w:rFonts w:hint="eastAsia"/>
          <w:sz w:val="30"/>
          <w:szCs w:val="30"/>
        </w:rPr>
        <w:t>2.</w:t>
      </w:r>
      <w:r>
        <w:rPr>
          <w:rFonts w:hint="eastAsia"/>
          <w:sz w:val="30"/>
          <w:szCs w:val="30"/>
        </w:rPr>
        <w:t>陶雅主张按照城镇居民标准计算赔偿相关费用，但其在一、二审期间提供的扬州市飞腾机械有限公司出具的证明、证人证言、其委托诉讼代理人的陈述之间存在矛盾，不足以证明其经常居住地和主要收入来源地均为城镇，其主张按照城镇居民标准计算赔偿相关费用，证据不足。对于陶雅二审期间提供的扬州市平山乡人民政府和扬州市邗江区平山乡槐子村村民委员会出具的《证明》，二审法院已经交由当事人质证并进行了认证，陶雅主张二审法院对于其提供的证明失地的证据未予质证与认证，与事实不</w:t>
      </w:r>
      <w:r>
        <w:rPr>
          <w:rFonts w:hint="eastAsia"/>
          <w:sz w:val="30"/>
          <w:szCs w:val="30"/>
        </w:rPr>
        <w:t>符。</w:t>
      </w:r>
      <w:r>
        <w:rPr>
          <w:rFonts w:hint="eastAsia"/>
          <w:sz w:val="30"/>
          <w:szCs w:val="30"/>
        </w:rPr>
        <w:t>3.</w:t>
      </w:r>
      <w:r>
        <w:rPr>
          <w:rFonts w:hint="eastAsia"/>
          <w:sz w:val="30"/>
          <w:szCs w:val="30"/>
        </w:rPr>
        <w:t>误工费根据受害人的误工时间和收入状况确定。陶雅并未提供证明其因为案涉损害导致误工损失的证据，故一、二审判决对其误工费主张未予支持，并无不当。陶雅主张参照受诉法院所在地相同或者相近行业上一年度职工的平均工资计算误工费，没有事实依据。</w:t>
      </w:r>
      <w:r>
        <w:rPr>
          <w:rFonts w:hint="eastAsia"/>
          <w:sz w:val="30"/>
          <w:szCs w:val="30"/>
        </w:rPr>
        <w:t>4.</w:t>
      </w:r>
      <w:r>
        <w:rPr>
          <w:rFonts w:hint="eastAsia"/>
          <w:sz w:val="30"/>
          <w:szCs w:val="30"/>
        </w:rPr>
        <w:t>根据鉴定意见，妇幼保健院在诊疗过程中存在未尽医疗风险注意义务（对抗感染治疗不足，辅助检查不全面）及对治疗方法告知不充分等过错，与陶雅的疤痕子宫、贫血等病变共同作用致陶雅晚期产后出血，产后子宫复旧</w:t>
      </w:r>
      <w:r>
        <w:rPr>
          <w:rFonts w:hint="eastAsia"/>
          <w:sz w:val="30"/>
          <w:szCs w:val="30"/>
        </w:rPr>
        <w:lastRenderedPageBreak/>
        <w:t>不全伴感染，从而导致次全子宫切除，妇幼保健院的过错与陶雅次全子宫切除的损害结</w:t>
      </w:r>
      <w:r>
        <w:rPr>
          <w:rFonts w:hint="eastAsia"/>
          <w:sz w:val="30"/>
          <w:szCs w:val="30"/>
        </w:rPr>
        <w:t>果之间存在因果关系，一、二审判决依据妇幼保健院的过错程度及诊疗行为在损害结果中的参与度，酌定由妇幼保健院按照</w:t>
      </w:r>
      <w:r>
        <w:rPr>
          <w:rFonts w:hint="eastAsia"/>
          <w:sz w:val="30"/>
          <w:szCs w:val="30"/>
        </w:rPr>
        <w:t>50%</w:t>
      </w:r>
      <w:r>
        <w:rPr>
          <w:rFonts w:hint="eastAsia"/>
          <w:sz w:val="30"/>
          <w:szCs w:val="30"/>
        </w:rPr>
        <w:t>的比例承担赔偿责任，并无不当。陶雅以妇幼保健院聘用非医疗卫生人员替其实施手术及未进行术前讨论为由要求加大妇幼保健院的赔偿责任，没有事实和法律依据。</w:t>
      </w:r>
      <w:r>
        <w:rPr>
          <w:rFonts w:hint="eastAsia"/>
          <w:sz w:val="30"/>
          <w:szCs w:val="30"/>
        </w:rPr>
        <w:t>5.</w:t>
      </w:r>
      <w:r>
        <w:rPr>
          <w:rFonts w:hint="eastAsia"/>
          <w:sz w:val="30"/>
          <w:szCs w:val="30"/>
        </w:rPr>
        <w:t>陶雅在起诉状中虽提出要求妇幼保健院赔礼道歉的诉讼请求，但变更诉讼请求申请书中并无该项诉请，视为其已放弃该项诉请，系对自己诉讼权利的处分，故一、二审判决对于该项诉请未予理涉，符合法律规定。</w:t>
      </w:r>
      <w:r>
        <w:rPr>
          <w:rFonts w:hint="eastAsia"/>
          <w:sz w:val="30"/>
          <w:szCs w:val="30"/>
        </w:rPr>
        <w:t>6.</w:t>
      </w:r>
      <w:r>
        <w:rPr>
          <w:rFonts w:hint="eastAsia"/>
          <w:sz w:val="30"/>
          <w:szCs w:val="30"/>
        </w:rPr>
        <w:t>关于陶雅对诉讼费提出的异议，不属于《中华人民共和国民事诉讼</w:t>
      </w:r>
      <w:r>
        <w:rPr>
          <w:rFonts w:hint="eastAsia"/>
          <w:sz w:val="30"/>
          <w:szCs w:val="30"/>
        </w:rPr>
        <w:t>法》第二百条规定的法定申请再审事由范围，本院不予审查。</w:t>
      </w:r>
    </w:p>
    <w:p w:rsidR="00000000" w:rsidRDefault="00C70967">
      <w:pPr>
        <w:spacing w:line="500" w:lineRule="atLeast"/>
        <w:ind w:firstLine="600"/>
        <w:divId w:val="492448670"/>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C70967">
      <w:pPr>
        <w:spacing w:line="500" w:lineRule="atLeast"/>
        <w:ind w:firstLine="600"/>
        <w:divId w:val="1381326845"/>
        <w:rPr>
          <w:rFonts w:hint="eastAsia"/>
          <w:sz w:val="30"/>
          <w:szCs w:val="30"/>
        </w:rPr>
      </w:pPr>
      <w:r>
        <w:rPr>
          <w:rFonts w:hint="eastAsia"/>
          <w:sz w:val="30"/>
          <w:szCs w:val="30"/>
        </w:rPr>
        <w:t>驳回陶雅的再审申请。</w:t>
      </w:r>
    </w:p>
    <w:p w:rsidR="00000000" w:rsidRDefault="00C70967">
      <w:pPr>
        <w:spacing w:line="500" w:lineRule="atLeast"/>
        <w:jc w:val="right"/>
        <w:divId w:val="568884051"/>
        <w:rPr>
          <w:rFonts w:hint="eastAsia"/>
          <w:sz w:val="30"/>
          <w:szCs w:val="30"/>
        </w:rPr>
      </w:pPr>
      <w:r>
        <w:rPr>
          <w:rFonts w:hint="eastAsia"/>
          <w:sz w:val="30"/>
          <w:szCs w:val="30"/>
        </w:rPr>
        <w:t>审判长　张　娅</w:t>
      </w:r>
    </w:p>
    <w:p w:rsidR="00000000" w:rsidRDefault="00C70967">
      <w:pPr>
        <w:spacing w:line="500" w:lineRule="atLeast"/>
        <w:jc w:val="right"/>
        <w:divId w:val="997490623"/>
        <w:rPr>
          <w:rFonts w:hint="eastAsia"/>
          <w:sz w:val="30"/>
          <w:szCs w:val="30"/>
        </w:rPr>
      </w:pPr>
      <w:r>
        <w:rPr>
          <w:rFonts w:hint="eastAsia"/>
          <w:sz w:val="30"/>
          <w:szCs w:val="30"/>
        </w:rPr>
        <w:t>审判员　陈　皓</w:t>
      </w:r>
    </w:p>
    <w:p w:rsidR="00000000" w:rsidRDefault="00C70967">
      <w:pPr>
        <w:spacing w:line="500" w:lineRule="atLeast"/>
        <w:jc w:val="right"/>
        <w:divId w:val="1593398053"/>
        <w:rPr>
          <w:rFonts w:hint="eastAsia"/>
          <w:sz w:val="30"/>
          <w:szCs w:val="30"/>
        </w:rPr>
      </w:pPr>
      <w:r>
        <w:rPr>
          <w:rFonts w:hint="eastAsia"/>
          <w:sz w:val="30"/>
          <w:szCs w:val="30"/>
        </w:rPr>
        <w:t>审判员　周　艳</w:t>
      </w:r>
    </w:p>
    <w:p w:rsidR="00000000" w:rsidRDefault="00C70967">
      <w:pPr>
        <w:spacing w:line="500" w:lineRule="atLeast"/>
        <w:jc w:val="right"/>
        <w:divId w:val="1602059298"/>
        <w:rPr>
          <w:rFonts w:hint="eastAsia"/>
          <w:sz w:val="30"/>
          <w:szCs w:val="30"/>
        </w:rPr>
      </w:pPr>
      <w:r>
        <w:rPr>
          <w:rFonts w:hint="eastAsia"/>
          <w:sz w:val="30"/>
          <w:szCs w:val="30"/>
        </w:rPr>
        <w:t>二〇二〇年七月七日</w:t>
      </w:r>
    </w:p>
    <w:p w:rsidR="00000000" w:rsidRDefault="00C70967">
      <w:pPr>
        <w:spacing w:line="500" w:lineRule="atLeast"/>
        <w:jc w:val="right"/>
        <w:divId w:val="1074938682"/>
        <w:rPr>
          <w:rFonts w:hint="eastAsia"/>
          <w:sz w:val="30"/>
          <w:szCs w:val="30"/>
        </w:rPr>
      </w:pPr>
      <w:r>
        <w:rPr>
          <w:rFonts w:hint="eastAsia"/>
          <w:sz w:val="30"/>
          <w:szCs w:val="30"/>
        </w:rPr>
        <w:t>书记员　白金凤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967" w:rsidRDefault="00C70967" w:rsidP="00C70967">
      <w:r>
        <w:separator/>
      </w:r>
    </w:p>
  </w:endnote>
  <w:endnote w:type="continuationSeparator" w:id="0">
    <w:p w:rsidR="00C70967" w:rsidRDefault="00C70967" w:rsidP="00C7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967" w:rsidRDefault="00C70967" w:rsidP="00C70967">
      <w:r>
        <w:separator/>
      </w:r>
    </w:p>
  </w:footnote>
  <w:footnote w:type="continuationSeparator" w:id="0">
    <w:p w:rsidR="00C70967" w:rsidRDefault="00C70967" w:rsidP="00C70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0967"/>
    <w:rsid w:val="00C7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09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967"/>
    <w:rPr>
      <w:rFonts w:ascii="宋体" w:eastAsia="宋体" w:hAnsi="宋体" w:cs="宋体"/>
      <w:sz w:val="18"/>
      <w:szCs w:val="18"/>
    </w:rPr>
  </w:style>
  <w:style w:type="paragraph" w:styleId="a5">
    <w:name w:val="footer"/>
    <w:basedOn w:val="a"/>
    <w:link w:val="a6"/>
    <w:uiPriority w:val="99"/>
    <w:unhideWhenUsed/>
    <w:rsid w:val="00C70967"/>
    <w:pPr>
      <w:tabs>
        <w:tab w:val="center" w:pos="4153"/>
        <w:tab w:val="right" w:pos="8306"/>
      </w:tabs>
      <w:snapToGrid w:val="0"/>
    </w:pPr>
    <w:rPr>
      <w:sz w:val="18"/>
      <w:szCs w:val="18"/>
    </w:rPr>
  </w:style>
  <w:style w:type="character" w:customStyle="1" w:styleId="a6">
    <w:name w:val="页脚 字符"/>
    <w:basedOn w:val="a0"/>
    <w:link w:val="a5"/>
    <w:uiPriority w:val="99"/>
    <w:rsid w:val="00C7096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16675">
      <w:marLeft w:val="0"/>
      <w:marRight w:val="0"/>
      <w:marTop w:val="10"/>
      <w:marBottom w:val="10"/>
      <w:divBdr>
        <w:top w:val="none" w:sz="0" w:space="0" w:color="auto"/>
        <w:left w:val="none" w:sz="0" w:space="0" w:color="auto"/>
        <w:bottom w:val="none" w:sz="0" w:space="0" w:color="auto"/>
        <w:right w:val="none" w:sz="0" w:space="0" w:color="auto"/>
      </w:divBdr>
    </w:div>
    <w:div w:id="492448670">
      <w:marLeft w:val="0"/>
      <w:marRight w:val="0"/>
      <w:marTop w:val="10"/>
      <w:marBottom w:val="10"/>
      <w:divBdr>
        <w:top w:val="none" w:sz="0" w:space="0" w:color="auto"/>
        <w:left w:val="none" w:sz="0" w:space="0" w:color="auto"/>
        <w:bottom w:val="none" w:sz="0" w:space="0" w:color="auto"/>
        <w:right w:val="none" w:sz="0" w:space="0" w:color="auto"/>
      </w:divBdr>
    </w:div>
    <w:div w:id="502208688">
      <w:marLeft w:val="0"/>
      <w:marRight w:val="0"/>
      <w:marTop w:val="10"/>
      <w:marBottom w:val="10"/>
      <w:divBdr>
        <w:top w:val="none" w:sz="0" w:space="0" w:color="auto"/>
        <w:left w:val="none" w:sz="0" w:space="0" w:color="auto"/>
        <w:bottom w:val="none" w:sz="0" w:space="0" w:color="auto"/>
        <w:right w:val="none" w:sz="0" w:space="0" w:color="auto"/>
      </w:divBdr>
    </w:div>
    <w:div w:id="568884051">
      <w:marLeft w:val="0"/>
      <w:marRight w:val="720"/>
      <w:marTop w:val="10"/>
      <w:marBottom w:val="10"/>
      <w:divBdr>
        <w:top w:val="none" w:sz="0" w:space="0" w:color="auto"/>
        <w:left w:val="none" w:sz="0" w:space="0" w:color="auto"/>
        <w:bottom w:val="none" w:sz="0" w:space="0" w:color="auto"/>
        <w:right w:val="none" w:sz="0" w:space="0" w:color="auto"/>
      </w:divBdr>
    </w:div>
    <w:div w:id="599527806">
      <w:marLeft w:val="0"/>
      <w:marRight w:val="0"/>
      <w:marTop w:val="10"/>
      <w:marBottom w:val="10"/>
      <w:divBdr>
        <w:top w:val="none" w:sz="0" w:space="0" w:color="auto"/>
        <w:left w:val="none" w:sz="0" w:space="0" w:color="auto"/>
        <w:bottom w:val="none" w:sz="0" w:space="0" w:color="auto"/>
        <w:right w:val="none" w:sz="0" w:space="0" w:color="auto"/>
      </w:divBdr>
    </w:div>
    <w:div w:id="618224838">
      <w:marLeft w:val="0"/>
      <w:marRight w:val="0"/>
      <w:marTop w:val="10"/>
      <w:marBottom w:val="10"/>
      <w:divBdr>
        <w:top w:val="none" w:sz="0" w:space="0" w:color="auto"/>
        <w:left w:val="none" w:sz="0" w:space="0" w:color="auto"/>
        <w:bottom w:val="none" w:sz="0" w:space="0" w:color="auto"/>
        <w:right w:val="none" w:sz="0" w:space="0" w:color="auto"/>
      </w:divBdr>
    </w:div>
    <w:div w:id="710223825">
      <w:marLeft w:val="0"/>
      <w:marRight w:val="0"/>
      <w:marTop w:val="10"/>
      <w:marBottom w:val="10"/>
      <w:divBdr>
        <w:top w:val="none" w:sz="0" w:space="0" w:color="auto"/>
        <w:left w:val="none" w:sz="0" w:space="0" w:color="auto"/>
        <w:bottom w:val="none" w:sz="0" w:space="0" w:color="auto"/>
        <w:right w:val="none" w:sz="0" w:space="0" w:color="auto"/>
      </w:divBdr>
    </w:div>
    <w:div w:id="851725237">
      <w:marLeft w:val="0"/>
      <w:marRight w:val="0"/>
      <w:marTop w:val="10"/>
      <w:marBottom w:val="10"/>
      <w:divBdr>
        <w:top w:val="none" w:sz="0" w:space="0" w:color="auto"/>
        <w:left w:val="none" w:sz="0" w:space="0" w:color="auto"/>
        <w:bottom w:val="none" w:sz="0" w:space="0" w:color="auto"/>
        <w:right w:val="none" w:sz="0" w:space="0" w:color="auto"/>
      </w:divBdr>
    </w:div>
    <w:div w:id="888885458">
      <w:marLeft w:val="0"/>
      <w:marRight w:val="0"/>
      <w:marTop w:val="10"/>
      <w:marBottom w:val="10"/>
      <w:divBdr>
        <w:top w:val="none" w:sz="0" w:space="0" w:color="auto"/>
        <w:left w:val="none" w:sz="0" w:space="0" w:color="auto"/>
        <w:bottom w:val="none" w:sz="0" w:space="0" w:color="auto"/>
        <w:right w:val="none" w:sz="0" w:space="0" w:color="auto"/>
      </w:divBdr>
    </w:div>
    <w:div w:id="997490623">
      <w:marLeft w:val="0"/>
      <w:marRight w:val="720"/>
      <w:marTop w:val="10"/>
      <w:marBottom w:val="10"/>
      <w:divBdr>
        <w:top w:val="none" w:sz="0" w:space="0" w:color="auto"/>
        <w:left w:val="none" w:sz="0" w:space="0" w:color="auto"/>
        <w:bottom w:val="none" w:sz="0" w:space="0" w:color="auto"/>
        <w:right w:val="none" w:sz="0" w:space="0" w:color="auto"/>
      </w:divBdr>
    </w:div>
    <w:div w:id="1066757713">
      <w:marLeft w:val="0"/>
      <w:marRight w:val="0"/>
      <w:marTop w:val="10"/>
      <w:marBottom w:val="10"/>
      <w:divBdr>
        <w:top w:val="none" w:sz="0" w:space="0" w:color="auto"/>
        <w:left w:val="none" w:sz="0" w:space="0" w:color="auto"/>
        <w:bottom w:val="none" w:sz="0" w:space="0" w:color="auto"/>
        <w:right w:val="none" w:sz="0" w:space="0" w:color="auto"/>
      </w:divBdr>
    </w:div>
    <w:div w:id="1074938682">
      <w:marLeft w:val="0"/>
      <w:marRight w:val="720"/>
      <w:marTop w:val="10"/>
      <w:marBottom w:val="10"/>
      <w:divBdr>
        <w:top w:val="none" w:sz="0" w:space="0" w:color="auto"/>
        <w:left w:val="none" w:sz="0" w:space="0" w:color="auto"/>
        <w:bottom w:val="none" w:sz="0" w:space="0" w:color="auto"/>
        <w:right w:val="none" w:sz="0" w:space="0" w:color="auto"/>
      </w:divBdr>
    </w:div>
    <w:div w:id="1381326845">
      <w:marLeft w:val="0"/>
      <w:marRight w:val="0"/>
      <w:marTop w:val="10"/>
      <w:marBottom w:val="10"/>
      <w:divBdr>
        <w:top w:val="none" w:sz="0" w:space="0" w:color="auto"/>
        <w:left w:val="none" w:sz="0" w:space="0" w:color="auto"/>
        <w:bottom w:val="none" w:sz="0" w:space="0" w:color="auto"/>
        <w:right w:val="none" w:sz="0" w:space="0" w:color="auto"/>
      </w:divBdr>
    </w:div>
    <w:div w:id="1593398053">
      <w:marLeft w:val="0"/>
      <w:marRight w:val="720"/>
      <w:marTop w:val="10"/>
      <w:marBottom w:val="10"/>
      <w:divBdr>
        <w:top w:val="none" w:sz="0" w:space="0" w:color="auto"/>
        <w:left w:val="none" w:sz="0" w:space="0" w:color="auto"/>
        <w:bottom w:val="none" w:sz="0" w:space="0" w:color="auto"/>
        <w:right w:val="none" w:sz="0" w:space="0" w:color="auto"/>
      </w:divBdr>
    </w:div>
    <w:div w:id="1602059298">
      <w:marLeft w:val="0"/>
      <w:marRight w:val="720"/>
      <w:marTop w:val="10"/>
      <w:marBottom w:val="10"/>
      <w:divBdr>
        <w:top w:val="none" w:sz="0" w:space="0" w:color="auto"/>
        <w:left w:val="none" w:sz="0" w:space="0" w:color="auto"/>
        <w:bottom w:val="none" w:sz="0" w:space="0" w:color="auto"/>
        <w:right w:val="none" w:sz="0" w:space="0" w:color="auto"/>
      </w:divBdr>
    </w:div>
    <w:div w:id="20547727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