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7B34">
      <w:pPr>
        <w:spacing w:line="500" w:lineRule="atLeast"/>
        <w:jc w:val="center"/>
        <w:divId w:val="83497066"/>
        <w:rPr>
          <w:rFonts w:ascii="黑体" w:eastAsia="黑体" w:hAnsi="黑体"/>
          <w:sz w:val="36"/>
          <w:szCs w:val="36"/>
        </w:rPr>
      </w:pPr>
      <w:bookmarkStart w:id="0" w:name="_GoBack"/>
      <w:bookmarkEnd w:id="0"/>
      <w:r>
        <w:rPr>
          <w:rFonts w:ascii="黑体" w:eastAsia="黑体" w:hAnsi="黑体" w:hint="eastAsia"/>
          <w:sz w:val="36"/>
          <w:szCs w:val="36"/>
        </w:rPr>
        <w:t>山东省泰安市中级人民法院</w:t>
      </w:r>
    </w:p>
    <w:p w:rsidR="00000000" w:rsidRDefault="002A7B34">
      <w:pPr>
        <w:spacing w:line="500" w:lineRule="atLeast"/>
        <w:jc w:val="center"/>
        <w:divId w:val="8150248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7B34">
      <w:pPr>
        <w:spacing w:line="500" w:lineRule="atLeast"/>
        <w:jc w:val="right"/>
        <w:divId w:val="1553345174"/>
        <w:rPr>
          <w:rFonts w:hint="eastAsia"/>
          <w:sz w:val="30"/>
          <w:szCs w:val="30"/>
        </w:rPr>
      </w:pPr>
      <w:r>
        <w:rPr>
          <w:rFonts w:hint="eastAsia"/>
          <w:sz w:val="30"/>
          <w:szCs w:val="30"/>
        </w:rPr>
        <w:t>（</w:t>
      </w:r>
      <w:r>
        <w:rPr>
          <w:rFonts w:hint="eastAsia"/>
          <w:sz w:val="30"/>
          <w:szCs w:val="30"/>
        </w:rPr>
        <w:t>2022</w:t>
      </w:r>
      <w:r>
        <w:rPr>
          <w:rFonts w:hint="eastAsia"/>
          <w:sz w:val="30"/>
          <w:szCs w:val="30"/>
        </w:rPr>
        <w:t>）鲁</w:t>
      </w:r>
      <w:r>
        <w:rPr>
          <w:rFonts w:hint="eastAsia"/>
          <w:sz w:val="30"/>
          <w:szCs w:val="30"/>
        </w:rPr>
        <w:t>09</w:t>
      </w:r>
      <w:r>
        <w:rPr>
          <w:rFonts w:hint="eastAsia"/>
          <w:sz w:val="30"/>
          <w:szCs w:val="30"/>
        </w:rPr>
        <w:t>民终</w:t>
      </w:r>
      <w:r>
        <w:rPr>
          <w:rFonts w:hint="eastAsia"/>
          <w:sz w:val="30"/>
          <w:szCs w:val="30"/>
        </w:rPr>
        <w:t>4579</w:t>
      </w:r>
      <w:r>
        <w:rPr>
          <w:rFonts w:hint="eastAsia"/>
          <w:sz w:val="30"/>
          <w:szCs w:val="30"/>
        </w:rPr>
        <w:t>号</w:t>
      </w:r>
    </w:p>
    <w:p w:rsidR="00000000" w:rsidRDefault="002A7B34">
      <w:pPr>
        <w:spacing w:line="500" w:lineRule="atLeast"/>
        <w:ind w:firstLine="600"/>
        <w:divId w:val="1598055579"/>
        <w:rPr>
          <w:rFonts w:hint="eastAsia"/>
          <w:sz w:val="30"/>
          <w:szCs w:val="30"/>
        </w:rPr>
      </w:pPr>
      <w:r>
        <w:rPr>
          <w:rFonts w:hint="eastAsia"/>
          <w:sz w:val="30"/>
          <w:szCs w:val="30"/>
        </w:rPr>
        <w:t>上诉人（原审被告）：韩维勇，男，</w:t>
      </w:r>
      <w:r>
        <w:rPr>
          <w:rFonts w:hint="eastAsia"/>
          <w:sz w:val="30"/>
          <w:szCs w:val="30"/>
        </w:rPr>
        <w:t>1968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日出生，汉族，住泰安市泰山区。</w:t>
      </w:r>
    </w:p>
    <w:p w:rsidR="00000000" w:rsidRDefault="002A7B34">
      <w:pPr>
        <w:spacing w:line="500" w:lineRule="atLeast"/>
        <w:ind w:firstLine="600"/>
        <w:divId w:val="1157694691"/>
        <w:rPr>
          <w:rFonts w:hint="eastAsia"/>
          <w:sz w:val="30"/>
          <w:szCs w:val="30"/>
        </w:rPr>
      </w:pPr>
      <w:r>
        <w:rPr>
          <w:rFonts w:hint="eastAsia"/>
          <w:sz w:val="30"/>
          <w:szCs w:val="30"/>
        </w:rPr>
        <w:t>委托诉讼代理人：张涛，山东岳首律师事务所律师。</w:t>
      </w:r>
    </w:p>
    <w:p w:rsidR="00000000" w:rsidRDefault="002A7B34">
      <w:pPr>
        <w:spacing w:line="500" w:lineRule="atLeast"/>
        <w:ind w:firstLine="600"/>
        <w:divId w:val="229734561"/>
        <w:rPr>
          <w:rFonts w:hint="eastAsia"/>
          <w:sz w:val="30"/>
          <w:szCs w:val="30"/>
        </w:rPr>
      </w:pPr>
      <w:r>
        <w:rPr>
          <w:rFonts w:hint="eastAsia"/>
          <w:sz w:val="30"/>
          <w:szCs w:val="30"/>
        </w:rPr>
        <w:t>委托诉讼代理人：任学强，山东岳首律师事务所律师。</w:t>
      </w:r>
    </w:p>
    <w:p w:rsidR="00000000" w:rsidRDefault="002A7B34">
      <w:pPr>
        <w:spacing w:line="500" w:lineRule="atLeast"/>
        <w:ind w:firstLine="600"/>
        <w:divId w:val="1938633361"/>
        <w:rPr>
          <w:rFonts w:hint="eastAsia"/>
          <w:sz w:val="30"/>
          <w:szCs w:val="30"/>
        </w:rPr>
      </w:pPr>
      <w:r>
        <w:rPr>
          <w:rFonts w:hint="eastAsia"/>
          <w:sz w:val="30"/>
          <w:szCs w:val="30"/>
        </w:rPr>
        <w:t>被上诉人（原审原告）：郑金富，男，</w:t>
      </w:r>
      <w:r>
        <w:rPr>
          <w:rFonts w:hint="eastAsia"/>
          <w:sz w:val="30"/>
          <w:szCs w:val="30"/>
        </w:rPr>
        <w:t>1959</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日出生，汉族，住泰安市岱岳区。</w:t>
      </w:r>
    </w:p>
    <w:p w:rsidR="00000000" w:rsidRDefault="002A7B34">
      <w:pPr>
        <w:spacing w:line="500" w:lineRule="atLeast"/>
        <w:ind w:firstLine="600"/>
        <w:divId w:val="2032487614"/>
        <w:rPr>
          <w:rFonts w:hint="eastAsia"/>
          <w:sz w:val="30"/>
          <w:szCs w:val="30"/>
        </w:rPr>
      </w:pPr>
      <w:r>
        <w:rPr>
          <w:rFonts w:hint="eastAsia"/>
          <w:sz w:val="30"/>
          <w:szCs w:val="30"/>
        </w:rPr>
        <w:t>上诉人韩维勇因与被上诉人郑金富提供劳务者受害责任纠纷一案，不服山东省泰安市泰山区人民法院（</w:t>
      </w:r>
      <w:r>
        <w:rPr>
          <w:rFonts w:hint="eastAsia"/>
          <w:sz w:val="30"/>
          <w:szCs w:val="30"/>
        </w:rPr>
        <w:t>2021</w:t>
      </w:r>
      <w:r>
        <w:rPr>
          <w:rFonts w:hint="eastAsia"/>
          <w:sz w:val="30"/>
          <w:szCs w:val="30"/>
        </w:rPr>
        <w:t>）鲁</w:t>
      </w:r>
      <w:r>
        <w:rPr>
          <w:rFonts w:hint="eastAsia"/>
          <w:sz w:val="30"/>
          <w:szCs w:val="30"/>
        </w:rPr>
        <w:t>0902</w:t>
      </w:r>
      <w:r>
        <w:rPr>
          <w:rFonts w:hint="eastAsia"/>
          <w:sz w:val="30"/>
          <w:szCs w:val="30"/>
        </w:rPr>
        <w:t>民初</w:t>
      </w:r>
      <w:r>
        <w:rPr>
          <w:rFonts w:hint="eastAsia"/>
          <w:sz w:val="30"/>
          <w:szCs w:val="30"/>
        </w:rPr>
        <w:t>6333</w:t>
      </w:r>
      <w:r>
        <w:rPr>
          <w:rFonts w:hint="eastAsia"/>
          <w:sz w:val="30"/>
          <w:szCs w:val="30"/>
        </w:rPr>
        <w:t>号民事判决，向本院提起上诉。本院立案后，依法组成合议庭进行了审理。本案现已审理终结。</w:t>
      </w:r>
    </w:p>
    <w:p w:rsidR="00000000" w:rsidRDefault="002A7B34">
      <w:pPr>
        <w:spacing w:line="500" w:lineRule="atLeast"/>
        <w:ind w:firstLine="600"/>
        <w:divId w:val="934675530"/>
        <w:rPr>
          <w:rFonts w:hint="eastAsia"/>
          <w:sz w:val="30"/>
          <w:szCs w:val="30"/>
        </w:rPr>
      </w:pPr>
      <w:r>
        <w:rPr>
          <w:rFonts w:hint="eastAsia"/>
          <w:sz w:val="30"/>
          <w:szCs w:val="30"/>
        </w:rPr>
        <w:t>韩维勇上诉请求：</w:t>
      </w:r>
      <w:r>
        <w:rPr>
          <w:rFonts w:hint="eastAsia"/>
          <w:sz w:val="30"/>
          <w:szCs w:val="30"/>
        </w:rPr>
        <w:t>1.</w:t>
      </w:r>
      <w:r>
        <w:rPr>
          <w:rFonts w:hint="eastAsia"/>
          <w:sz w:val="30"/>
          <w:szCs w:val="30"/>
        </w:rPr>
        <w:t>撤销泰安市泰山区人民法院（</w:t>
      </w:r>
      <w:r>
        <w:rPr>
          <w:rFonts w:hint="eastAsia"/>
          <w:sz w:val="30"/>
          <w:szCs w:val="30"/>
        </w:rPr>
        <w:t>2021</w:t>
      </w:r>
      <w:r>
        <w:rPr>
          <w:rFonts w:hint="eastAsia"/>
          <w:sz w:val="30"/>
          <w:szCs w:val="30"/>
        </w:rPr>
        <w:t>）鲁</w:t>
      </w:r>
      <w:r>
        <w:rPr>
          <w:rFonts w:hint="eastAsia"/>
          <w:sz w:val="30"/>
          <w:szCs w:val="30"/>
        </w:rPr>
        <w:t>0902</w:t>
      </w:r>
      <w:r>
        <w:rPr>
          <w:rFonts w:hint="eastAsia"/>
          <w:sz w:val="30"/>
          <w:szCs w:val="30"/>
        </w:rPr>
        <w:t>民初</w:t>
      </w:r>
      <w:r>
        <w:rPr>
          <w:rFonts w:hint="eastAsia"/>
          <w:sz w:val="30"/>
          <w:szCs w:val="30"/>
        </w:rPr>
        <w:t>6333</w:t>
      </w:r>
      <w:r>
        <w:rPr>
          <w:rFonts w:hint="eastAsia"/>
          <w:sz w:val="30"/>
          <w:szCs w:val="30"/>
        </w:rPr>
        <w:t>号民事判决，依法改判驳回被上诉人郑金富诉讼请求；</w:t>
      </w:r>
      <w:r>
        <w:rPr>
          <w:rFonts w:hint="eastAsia"/>
          <w:sz w:val="30"/>
          <w:szCs w:val="30"/>
        </w:rPr>
        <w:t>2.</w:t>
      </w:r>
      <w:r>
        <w:rPr>
          <w:rFonts w:hint="eastAsia"/>
          <w:sz w:val="30"/>
          <w:szCs w:val="30"/>
        </w:rPr>
        <w:t>一、二审诉讼费用由被上诉人承担。事实和理由：一、一审法院认定上诉人有过错证据不足一审判决认定“上诉人应对被上诉人的劳动作业提供足够的安全生产条件或采取相应的安全保护措施，未在</w:t>
      </w:r>
      <w:r>
        <w:rPr>
          <w:rFonts w:hint="eastAsia"/>
          <w:sz w:val="30"/>
          <w:szCs w:val="30"/>
        </w:rPr>
        <w:t>施工现场尽到充分的指导、管理义务，具有较大过错，依法应对本案事故负主要责任”。该认定缺乏证据，是一审法院根据受伤事实作出的一系列的笼统的推断认定。在整个一审诉讼中作为受害人的被上诉人没有提到在受伤过程中上诉人缺少哪些安全措施，一审庭审也未审理这一部分，一审判决书中也未具体阐明上诉人承担责任的详细具体原因。被上诉人受伤是自己粗心大意导致的，在庭审中被上诉人称自己几十年长期从事建筑行业，对于安全防范应有足够的经验，不需要上诉人天天强调，受伤原因是自身造成，中</w:t>
      </w:r>
      <w:r>
        <w:rPr>
          <w:rFonts w:hint="eastAsia"/>
          <w:sz w:val="30"/>
          <w:szCs w:val="30"/>
        </w:rPr>
        <w:lastRenderedPageBreak/>
        <w:t>国诉讼法不适用推断原则，一审判决上诉人承担</w:t>
      </w:r>
      <w:r>
        <w:rPr>
          <w:rFonts w:hint="eastAsia"/>
          <w:sz w:val="30"/>
          <w:szCs w:val="30"/>
        </w:rPr>
        <w:t>60%</w:t>
      </w:r>
      <w:r>
        <w:rPr>
          <w:rFonts w:hint="eastAsia"/>
          <w:sz w:val="30"/>
          <w:szCs w:val="30"/>
        </w:rPr>
        <w:t>的责任</w:t>
      </w:r>
      <w:r>
        <w:rPr>
          <w:rFonts w:hint="eastAsia"/>
          <w:sz w:val="30"/>
          <w:szCs w:val="30"/>
        </w:rPr>
        <w:t>没有事实依据和证据依据。二、被上诉人原发伤与伤残无关联性根据</w:t>
      </w:r>
      <w:r>
        <w:rPr>
          <w:rFonts w:hint="eastAsia"/>
          <w:sz w:val="30"/>
          <w:szCs w:val="30"/>
        </w:rPr>
        <w:t>2017</w:t>
      </w:r>
      <w:r>
        <w:rPr>
          <w:rFonts w:hint="eastAsia"/>
          <w:sz w:val="30"/>
          <w:szCs w:val="30"/>
        </w:rPr>
        <w:t>年最高院、最高检、公安部、安全部、司法部联合下发《人体损伤致残程度分析》第四条第二款明确要求原发性损伤为基础治疗终结为参考确定伤残程度，查明原发性伤情对于伤残鉴定至关重要。被上诉人自始至终没有提供原发性损伤的伤情证据，在一审诉讼中上诉人针对其伤残与原发伤的关联性申请鉴定，但因被上诉人无法提供受伤当日在泰安市××就诊时的原发伤影像片，鉴定机构因无法鉴定原发伤与伤残关联度退回鉴定。被上诉人在一审就伤残等级也申请鉴定，鉴定机构同样明确要求一审法院</w:t>
      </w:r>
      <w:r>
        <w:rPr>
          <w:rFonts w:hint="eastAsia"/>
          <w:sz w:val="30"/>
          <w:szCs w:val="30"/>
        </w:rPr>
        <w:t>提供被上诉人受伤当日在泰安市××拍摄的左跟骨影片，但被上诉人拒不提供，所以在被上诉人申请的鉴定报告第四页下部明确表述“被上诉人实际伤残是否因本次外伤造成，现有的质证鉴定材料因缺乏受伤当日左足影像片，十级伤残是否因本次外伤造成，本机构无法进行鉴定”。两次具有司法鉴定资质的鉴定机构的具有专业知识的专家均因被上诉人无法提供原发伤的原始影片而无法确定与伤残关联性。不知一审法院作为医学非专业机构，在没有任何证据情况下如何来认定伤残与本案具有关联性。根据最高院《证据规则》规定由被上诉人负有举证责任，本案不属于举证倒置，</w:t>
      </w:r>
      <w:r>
        <w:rPr>
          <w:rFonts w:hint="eastAsia"/>
          <w:sz w:val="30"/>
          <w:szCs w:val="30"/>
        </w:rPr>
        <w:t>上诉人没有提供证据的法律责任，故本案此事实不能查清，应由被上诉人承担举证不能的法律后果。三、畸形十级伤残的责任承担泰安市××是泰安最大、级别最高的国办医院，被上诉人受伤二个小时到该院就诊检查，治疗措施是石膏固定。众所周知，在医生采取石膏固定之前，肯定对其伤情进行相关检查，医生未对受伤部位进行手术矫正直接采取石膏固定措施，这足以说明受伤部位没有畸形。如果存在本次伤残鉴定中的“被上</w:t>
      </w:r>
      <w:r>
        <w:rPr>
          <w:rFonts w:hint="eastAsia"/>
          <w:sz w:val="30"/>
          <w:szCs w:val="30"/>
        </w:rPr>
        <w:lastRenderedPageBreak/>
        <w:t>诉人左跟骨骨折畸形”，根据《医学诊疗规范》的规定，医生首先应采取矫正治疗措施，不可能直接采取石膏固定。反之，如果原发伤当时存在畸形，</w:t>
      </w:r>
      <w:r>
        <w:rPr>
          <w:rFonts w:hint="eastAsia"/>
          <w:sz w:val="30"/>
          <w:szCs w:val="30"/>
        </w:rPr>
        <w:t>没有手术治疗措施而直接采取石膏固定，这是典型的医疗事故，那么被上诉人现在的损害结果是医院的医疗事故造成的，与上诉人无关。综上所述，综上，一审判决认定事实不清、证据不足，上诉人依法提出上诉，请求二审法院支持上诉人上诉请求。</w:t>
      </w:r>
    </w:p>
    <w:p w:rsidR="00000000" w:rsidRDefault="002A7B34">
      <w:pPr>
        <w:spacing w:line="500" w:lineRule="atLeast"/>
        <w:ind w:firstLine="600"/>
        <w:divId w:val="306279163"/>
        <w:rPr>
          <w:rFonts w:hint="eastAsia"/>
          <w:sz w:val="30"/>
          <w:szCs w:val="30"/>
        </w:rPr>
      </w:pPr>
      <w:r>
        <w:rPr>
          <w:rFonts w:hint="eastAsia"/>
          <w:sz w:val="30"/>
          <w:szCs w:val="30"/>
        </w:rPr>
        <w:t>郑金富向一审法院起诉请求：</w:t>
      </w:r>
      <w:r>
        <w:rPr>
          <w:rFonts w:hint="eastAsia"/>
          <w:sz w:val="30"/>
          <w:szCs w:val="30"/>
        </w:rPr>
        <w:t>1.</w:t>
      </w:r>
      <w:r>
        <w:rPr>
          <w:rFonts w:hint="eastAsia"/>
          <w:sz w:val="30"/>
          <w:szCs w:val="30"/>
        </w:rPr>
        <w:t>判令被告支付原告伤残补助金</w:t>
      </w:r>
      <w:r>
        <w:rPr>
          <w:rFonts w:hint="eastAsia"/>
          <w:sz w:val="30"/>
          <w:szCs w:val="30"/>
        </w:rPr>
        <w:t>78706.8</w:t>
      </w:r>
      <w:r>
        <w:rPr>
          <w:rFonts w:hint="eastAsia"/>
          <w:sz w:val="30"/>
          <w:szCs w:val="30"/>
        </w:rPr>
        <w:t>元、误工费</w:t>
      </w:r>
      <w:r>
        <w:rPr>
          <w:rFonts w:hint="eastAsia"/>
          <w:sz w:val="30"/>
          <w:szCs w:val="30"/>
        </w:rPr>
        <w:t>48000</w:t>
      </w:r>
      <w:r>
        <w:rPr>
          <w:rFonts w:hint="eastAsia"/>
          <w:sz w:val="30"/>
          <w:szCs w:val="30"/>
        </w:rPr>
        <w:t>元、护理费</w:t>
      </w:r>
      <w:r>
        <w:rPr>
          <w:rFonts w:hint="eastAsia"/>
          <w:sz w:val="30"/>
          <w:szCs w:val="30"/>
        </w:rPr>
        <w:t>12014</w:t>
      </w:r>
      <w:r>
        <w:rPr>
          <w:rFonts w:hint="eastAsia"/>
          <w:sz w:val="30"/>
          <w:szCs w:val="30"/>
        </w:rPr>
        <w:t>元、营养费</w:t>
      </w:r>
      <w:r>
        <w:rPr>
          <w:rFonts w:hint="eastAsia"/>
          <w:sz w:val="30"/>
          <w:szCs w:val="30"/>
        </w:rPr>
        <w:t>9000</w:t>
      </w:r>
      <w:r>
        <w:rPr>
          <w:rFonts w:hint="eastAsia"/>
          <w:sz w:val="30"/>
          <w:szCs w:val="30"/>
        </w:rPr>
        <w:t>元、鉴定费</w:t>
      </w:r>
      <w:r>
        <w:rPr>
          <w:rFonts w:hint="eastAsia"/>
          <w:sz w:val="30"/>
          <w:szCs w:val="30"/>
        </w:rPr>
        <w:t>2835</w:t>
      </w:r>
      <w:r>
        <w:rPr>
          <w:rFonts w:hint="eastAsia"/>
          <w:sz w:val="30"/>
          <w:szCs w:val="30"/>
        </w:rPr>
        <w:t>元，共计</w:t>
      </w:r>
      <w:r>
        <w:rPr>
          <w:rFonts w:hint="eastAsia"/>
          <w:sz w:val="30"/>
          <w:szCs w:val="30"/>
        </w:rPr>
        <w:t>150555.8</w:t>
      </w:r>
      <w:r>
        <w:rPr>
          <w:rFonts w:hint="eastAsia"/>
          <w:sz w:val="30"/>
          <w:szCs w:val="30"/>
        </w:rPr>
        <w:t>元；</w:t>
      </w:r>
      <w:r>
        <w:rPr>
          <w:rFonts w:hint="eastAsia"/>
          <w:sz w:val="30"/>
          <w:szCs w:val="30"/>
        </w:rPr>
        <w:t>2.</w:t>
      </w:r>
      <w:r>
        <w:rPr>
          <w:rFonts w:hint="eastAsia"/>
          <w:sz w:val="30"/>
          <w:szCs w:val="30"/>
        </w:rPr>
        <w:t>诉讼费、保全费由被告承担。案件审理过程中，原告变更第一项诉讼请求为：判令被告支付原告伤残补助金</w:t>
      </w:r>
      <w:r>
        <w:rPr>
          <w:rFonts w:hint="eastAsia"/>
          <w:sz w:val="30"/>
          <w:szCs w:val="30"/>
        </w:rPr>
        <w:t>84718.8</w:t>
      </w:r>
      <w:r>
        <w:rPr>
          <w:rFonts w:hint="eastAsia"/>
          <w:sz w:val="30"/>
          <w:szCs w:val="30"/>
        </w:rPr>
        <w:t>元、</w:t>
      </w:r>
      <w:r>
        <w:rPr>
          <w:rFonts w:hint="eastAsia"/>
          <w:sz w:val="30"/>
          <w:szCs w:val="30"/>
        </w:rPr>
        <w:t>误工费</w:t>
      </w:r>
      <w:r>
        <w:rPr>
          <w:rFonts w:hint="eastAsia"/>
          <w:sz w:val="30"/>
          <w:szCs w:val="30"/>
        </w:rPr>
        <w:t>44694</w:t>
      </w:r>
      <w:r>
        <w:rPr>
          <w:rFonts w:hint="eastAsia"/>
          <w:sz w:val="30"/>
          <w:szCs w:val="30"/>
        </w:rPr>
        <w:t>元、护理费</w:t>
      </w:r>
      <w:r>
        <w:rPr>
          <w:rFonts w:hint="eastAsia"/>
          <w:sz w:val="30"/>
          <w:szCs w:val="30"/>
        </w:rPr>
        <w:t>5869.3</w:t>
      </w:r>
      <w:r>
        <w:rPr>
          <w:rFonts w:hint="eastAsia"/>
          <w:sz w:val="30"/>
          <w:szCs w:val="30"/>
        </w:rPr>
        <w:t>元、营养费</w:t>
      </w:r>
      <w:r>
        <w:rPr>
          <w:rFonts w:hint="eastAsia"/>
          <w:sz w:val="30"/>
          <w:szCs w:val="30"/>
        </w:rPr>
        <w:t>9000</w:t>
      </w:r>
      <w:r>
        <w:rPr>
          <w:rFonts w:hint="eastAsia"/>
          <w:sz w:val="30"/>
          <w:szCs w:val="30"/>
        </w:rPr>
        <w:t>元、鉴定费</w:t>
      </w:r>
      <w:r>
        <w:rPr>
          <w:rFonts w:hint="eastAsia"/>
          <w:sz w:val="30"/>
          <w:szCs w:val="30"/>
        </w:rPr>
        <w:t>3700</w:t>
      </w:r>
      <w:r>
        <w:rPr>
          <w:rFonts w:hint="eastAsia"/>
          <w:sz w:val="30"/>
          <w:szCs w:val="30"/>
        </w:rPr>
        <w:t>元，共计</w:t>
      </w:r>
      <w:r>
        <w:rPr>
          <w:rFonts w:hint="eastAsia"/>
          <w:sz w:val="30"/>
          <w:szCs w:val="30"/>
        </w:rPr>
        <w:t>147982.1</w:t>
      </w:r>
      <w:r>
        <w:rPr>
          <w:rFonts w:hint="eastAsia"/>
          <w:sz w:val="30"/>
          <w:szCs w:val="30"/>
        </w:rPr>
        <w:t>元。</w:t>
      </w:r>
    </w:p>
    <w:p w:rsidR="00000000" w:rsidRDefault="002A7B34">
      <w:pPr>
        <w:spacing w:line="500" w:lineRule="atLeast"/>
        <w:ind w:firstLine="600"/>
        <w:divId w:val="698630296"/>
        <w:rPr>
          <w:rFonts w:hint="eastAsia"/>
          <w:sz w:val="30"/>
          <w:szCs w:val="30"/>
        </w:rPr>
      </w:pPr>
      <w:r>
        <w:rPr>
          <w:rFonts w:hint="eastAsia"/>
          <w:sz w:val="30"/>
          <w:szCs w:val="30"/>
        </w:rPr>
        <w:t>一审法院认定事实：原告郑金富受雇于被告韩维勇在泰安市宝龙城市广场后边农业银行处施工，日工资</w:t>
      </w:r>
      <w:r>
        <w:rPr>
          <w:rFonts w:hint="eastAsia"/>
          <w:sz w:val="30"/>
          <w:szCs w:val="30"/>
        </w:rPr>
        <w:t>300</w:t>
      </w:r>
      <w:r>
        <w:rPr>
          <w:rFonts w:hint="eastAsia"/>
          <w:sz w:val="30"/>
          <w:szCs w:val="30"/>
        </w:rPr>
        <w:t>元，</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日，原告在搭建脚手架的过程中，从架子上跌落受伤。当日，原告被送至泰安市××急诊进行救治，病史记载为：患者</w:t>
      </w:r>
      <w:r>
        <w:rPr>
          <w:rFonts w:hint="eastAsia"/>
          <w:sz w:val="30"/>
          <w:szCs w:val="30"/>
        </w:rPr>
        <w:t>1</w:t>
      </w:r>
      <w:r>
        <w:rPr>
          <w:rFonts w:hint="eastAsia"/>
          <w:sz w:val="30"/>
          <w:szCs w:val="30"/>
        </w:rPr>
        <w:t>小时前因外伤，伤及左足，致左足等处疼痛不适，局部肿胀、活动障碍、无明显畸形、皮肤破溃、出血，初步诊断为：左跟骨骨折，诊疗意见为：右踝关节正侧位片；右踝关节平扫＋骨三维成像，处置：</w:t>
      </w:r>
      <w:r>
        <w:rPr>
          <w:rFonts w:hint="eastAsia"/>
          <w:sz w:val="30"/>
          <w:szCs w:val="30"/>
        </w:rPr>
        <w:t>1</w:t>
      </w:r>
      <w:r>
        <w:rPr>
          <w:rFonts w:hint="eastAsia"/>
          <w:sz w:val="30"/>
          <w:szCs w:val="30"/>
        </w:rPr>
        <w:t>、石</w:t>
      </w:r>
      <w:r>
        <w:rPr>
          <w:rFonts w:hint="eastAsia"/>
          <w:sz w:val="30"/>
          <w:szCs w:val="30"/>
        </w:rPr>
        <w:t>膏固定制动，壹周复查。</w:t>
      </w:r>
      <w:r>
        <w:rPr>
          <w:rFonts w:hint="eastAsia"/>
          <w:sz w:val="30"/>
          <w:szCs w:val="30"/>
        </w:rPr>
        <w:t>2</w:t>
      </w:r>
      <w:r>
        <w:rPr>
          <w:rFonts w:hint="eastAsia"/>
          <w:sz w:val="30"/>
          <w:szCs w:val="30"/>
        </w:rPr>
        <w:t>、消肿活血对症治疗。</w:t>
      </w:r>
      <w:r>
        <w:rPr>
          <w:rFonts w:hint="eastAsia"/>
          <w:sz w:val="30"/>
          <w:szCs w:val="30"/>
        </w:rPr>
        <w:t>3</w:t>
      </w:r>
      <w:r>
        <w:rPr>
          <w:rFonts w:hint="eastAsia"/>
          <w:sz w:val="30"/>
          <w:szCs w:val="30"/>
        </w:rPr>
        <w:t>、如症状加重及时来院就诊。</w:t>
      </w:r>
      <w:r>
        <w:rPr>
          <w:rFonts w:hint="eastAsia"/>
          <w:sz w:val="30"/>
          <w:szCs w:val="30"/>
        </w:rPr>
        <w:t>4</w:t>
      </w:r>
      <w:r>
        <w:rPr>
          <w:rFonts w:hint="eastAsia"/>
          <w:sz w:val="30"/>
          <w:szCs w:val="30"/>
        </w:rPr>
        <w:t>、我科随诊。后泰安市××为原告行放射科检查，检查部位为右踝关节正侧位片，ＣＴ检查报告单载明，影像表现为：右跟骨轴位骨皮质连续性中断，见线样骨折线影，余右踝关节诸组成骨骨质完整，局部关节面欠光整，右距骨及跟骨骨小梁疏松改变，右跟骨周边软组织局部稍肿胀、结构紊乱，印象为：右跟骨骨折。关于事故发生的原因，原告称系脚手架的掐扣滑丝导致跌落，被告则称掐扣没有滑丝，是原告不慎掉落。原告受伤后，被告通过微信转账支付原告</w:t>
      </w:r>
      <w:r>
        <w:rPr>
          <w:rFonts w:hint="eastAsia"/>
          <w:sz w:val="30"/>
          <w:szCs w:val="30"/>
        </w:rPr>
        <w:t>1000</w:t>
      </w:r>
      <w:r>
        <w:rPr>
          <w:rFonts w:hint="eastAsia"/>
          <w:sz w:val="30"/>
          <w:szCs w:val="30"/>
        </w:rPr>
        <w:t>元。原告称该</w:t>
      </w:r>
      <w:r>
        <w:rPr>
          <w:rFonts w:hint="eastAsia"/>
          <w:sz w:val="30"/>
          <w:szCs w:val="30"/>
        </w:rPr>
        <w:t>1000</w:t>
      </w:r>
      <w:r>
        <w:rPr>
          <w:rFonts w:hint="eastAsia"/>
          <w:sz w:val="30"/>
          <w:szCs w:val="30"/>
        </w:rPr>
        <w:t>元</w:t>
      </w:r>
      <w:r>
        <w:rPr>
          <w:rFonts w:hint="eastAsia"/>
          <w:sz w:val="30"/>
          <w:szCs w:val="30"/>
        </w:rPr>
        <w:t>系医疗费用，被告则称医疗费用已由被告全部交付医院，该</w:t>
      </w:r>
      <w:r>
        <w:rPr>
          <w:rFonts w:hint="eastAsia"/>
          <w:sz w:val="30"/>
          <w:szCs w:val="30"/>
        </w:rPr>
        <w:t>1000</w:t>
      </w:r>
      <w:r>
        <w:rPr>
          <w:rFonts w:hint="eastAsia"/>
          <w:sz w:val="30"/>
          <w:szCs w:val="30"/>
        </w:rPr>
        <w:t>元系支付的营养费用。</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日，原告到泰安市××进行复查，主诉：左跟骨骨折石膏固定不适</w:t>
      </w:r>
      <w:r>
        <w:rPr>
          <w:rFonts w:hint="eastAsia"/>
          <w:sz w:val="30"/>
          <w:szCs w:val="30"/>
        </w:rPr>
        <w:t>1</w:t>
      </w:r>
      <w:r>
        <w:rPr>
          <w:rFonts w:hint="eastAsia"/>
          <w:sz w:val="30"/>
          <w:szCs w:val="30"/>
        </w:rPr>
        <w:t>周，初步诊断为：左跟骨骨折，处置：不适随诊。左足正侧位医学影像会诊检查报告单记载影像表现为：左侧跟骨骨折治疗后复查，左足可见石膏外固定影，左侧跟骨可见横行骨折线影，骨折对端对位尚可，左侧踝关节在位。</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日，原告到肥城市××庄梁氏骨科医院进行检查，诊断证明记载病情简介：患者不慎摔伤，后曾在就近医院拍片并行左踝关节石膏外固定，于今日自觉疼痛，</w:t>
      </w:r>
      <w:r>
        <w:rPr>
          <w:rFonts w:hint="eastAsia"/>
          <w:sz w:val="30"/>
          <w:szCs w:val="30"/>
        </w:rPr>
        <w:t>急来我院就诊，临床诊断：</w:t>
      </w:r>
      <w:r>
        <w:rPr>
          <w:rFonts w:hint="eastAsia"/>
          <w:sz w:val="30"/>
          <w:szCs w:val="30"/>
        </w:rPr>
        <w:t>1.</w:t>
      </w:r>
      <w:r>
        <w:rPr>
          <w:rFonts w:hint="eastAsia"/>
          <w:sz w:val="30"/>
          <w:szCs w:val="30"/>
        </w:rPr>
        <w:t>左跟骨骨折，</w:t>
      </w:r>
      <w:r>
        <w:rPr>
          <w:rFonts w:hint="eastAsia"/>
          <w:sz w:val="30"/>
          <w:szCs w:val="30"/>
        </w:rPr>
        <w:t>2.</w:t>
      </w:r>
      <w:r>
        <w:rPr>
          <w:rFonts w:hint="eastAsia"/>
          <w:sz w:val="30"/>
          <w:szCs w:val="30"/>
        </w:rPr>
        <w:t>右踝关节软组织损伤，医生意见为：患处继续外固定治疗，卧床休养，不能下地，定期门诊复查。</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原告自行委托山东泽宇法医司法鉴定中心对其伤残等级、误工期限、护理期限、营养期限进行鉴定，并在山东省煤炭泰山疗养院行ＣＴ检查，影像所见：双侧跟骨骨质结构不规整，可见线状骨折线影，边缘可见轻度骨质硬化，左跟骨骨质密度不均匀减低，余未见明显异常征象。当日并行ＤＲ检查，影像所见：双侧跟骨骨质结构欠规整，左侧跟骨骨折线模糊，右侧骨折线见线状低密度影，余未见明显异常征象</w:t>
      </w:r>
      <w:r>
        <w:rPr>
          <w:rFonts w:hint="eastAsia"/>
          <w:sz w:val="30"/>
          <w:szCs w:val="30"/>
        </w:rPr>
        <w:t>。该鉴定中心于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日出具司法鉴定意见书，鉴定意见为：</w:t>
      </w:r>
      <w:r>
        <w:rPr>
          <w:rFonts w:hint="eastAsia"/>
          <w:sz w:val="30"/>
          <w:szCs w:val="30"/>
        </w:rPr>
        <w:t>1.</w:t>
      </w:r>
      <w:r>
        <w:rPr>
          <w:rFonts w:hint="eastAsia"/>
          <w:sz w:val="30"/>
          <w:szCs w:val="30"/>
        </w:rPr>
        <w:t>被鉴定人郑金富伤残等级评定为十级；</w:t>
      </w:r>
      <w:r>
        <w:rPr>
          <w:rFonts w:hint="eastAsia"/>
          <w:sz w:val="30"/>
          <w:szCs w:val="30"/>
        </w:rPr>
        <w:t>2.</w:t>
      </w:r>
      <w:r>
        <w:rPr>
          <w:rFonts w:hint="eastAsia"/>
          <w:sz w:val="30"/>
          <w:szCs w:val="30"/>
        </w:rPr>
        <w:t>被鉴定人郑金富误工期限评定为</w:t>
      </w:r>
      <w:r>
        <w:rPr>
          <w:rFonts w:hint="eastAsia"/>
          <w:sz w:val="30"/>
          <w:szCs w:val="30"/>
        </w:rPr>
        <w:t>240</w:t>
      </w:r>
      <w:r>
        <w:rPr>
          <w:rFonts w:hint="eastAsia"/>
          <w:sz w:val="30"/>
          <w:szCs w:val="30"/>
        </w:rPr>
        <w:t>日；</w:t>
      </w:r>
      <w:r>
        <w:rPr>
          <w:rFonts w:hint="eastAsia"/>
          <w:sz w:val="30"/>
          <w:szCs w:val="30"/>
        </w:rPr>
        <w:t>3.</w:t>
      </w:r>
      <w:r>
        <w:rPr>
          <w:rFonts w:hint="eastAsia"/>
          <w:sz w:val="30"/>
          <w:szCs w:val="30"/>
        </w:rPr>
        <w:t>被鉴定人郑金富护理期限评定为</w:t>
      </w:r>
      <w:r>
        <w:rPr>
          <w:rFonts w:hint="eastAsia"/>
          <w:sz w:val="30"/>
          <w:szCs w:val="30"/>
        </w:rPr>
        <w:t>90</w:t>
      </w:r>
      <w:r>
        <w:rPr>
          <w:rFonts w:hint="eastAsia"/>
          <w:sz w:val="30"/>
          <w:szCs w:val="30"/>
        </w:rPr>
        <w:t>日；</w:t>
      </w:r>
      <w:r>
        <w:rPr>
          <w:rFonts w:hint="eastAsia"/>
          <w:sz w:val="30"/>
          <w:szCs w:val="30"/>
        </w:rPr>
        <w:t>4.</w:t>
      </w:r>
      <w:r>
        <w:rPr>
          <w:rFonts w:hint="eastAsia"/>
          <w:sz w:val="30"/>
          <w:szCs w:val="30"/>
        </w:rPr>
        <w:t>被鉴定人郑金富营养期限评定为</w:t>
      </w:r>
      <w:r>
        <w:rPr>
          <w:rFonts w:hint="eastAsia"/>
          <w:sz w:val="30"/>
          <w:szCs w:val="30"/>
        </w:rPr>
        <w:t>90</w:t>
      </w:r>
      <w:r>
        <w:rPr>
          <w:rFonts w:hint="eastAsia"/>
          <w:sz w:val="30"/>
          <w:szCs w:val="30"/>
        </w:rPr>
        <w:t>日。原告为此支出检查费</w:t>
      </w:r>
      <w:r>
        <w:rPr>
          <w:rFonts w:hint="eastAsia"/>
          <w:sz w:val="30"/>
          <w:szCs w:val="30"/>
        </w:rPr>
        <w:t>755</w:t>
      </w:r>
      <w:r>
        <w:rPr>
          <w:rFonts w:hint="eastAsia"/>
          <w:sz w:val="30"/>
          <w:szCs w:val="30"/>
        </w:rPr>
        <w:t>元、鉴定费</w:t>
      </w:r>
      <w:r>
        <w:rPr>
          <w:rFonts w:hint="eastAsia"/>
          <w:sz w:val="30"/>
          <w:szCs w:val="30"/>
        </w:rPr>
        <w:t>2080</w:t>
      </w:r>
      <w:r>
        <w:rPr>
          <w:rFonts w:hint="eastAsia"/>
          <w:sz w:val="30"/>
          <w:szCs w:val="30"/>
        </w:rPr>
        <w:t>元。被告对该鉴定意见有异议，称原告</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日在泰安市××拍片是连续性中断，见线样骨折线影，说明当时的骨折ＣＴ片显示的没有粉碎性骨折，更没有错位，在</w:t>
      </w:r>
      <w:r>
        <w:rPr>
          <w:rFonts w:hint="eastAsia"/>
          <w:sz w:val="30"/>
          <w:szCs w:val="30"/>
        </w:rPr>
        <w:t>6</w:t>
      </w:r>
      <w:r>
        <w:rPr>
          <w:rFonts w:hint="eastAsia"/>
          <w:sz w:val="30"/>
          <w:szCs w:val="30"/>
        </w:rPr>
        <w:t>月</w:t>
      </w:r>
      <w:r>
        <w:rPr>
          <w:rFonts w:hint="eastAsia"/>
          <w:sz w:val="30"/>
          <w:szCs w:val="30"/>
        </w:rPr>
        <w:t>22</w:t>
      </w:r>
      <w:r>
        <w:rPr>
          <w:rFonts w:hint="eastAsia"/>
          <w:sz w:val="30"/>
          <w:szCs w:val="30"/>
        </w:rPr>
        <w:t>日拍片时是多发性骨折线，骨折断端错位畸形，也就是说两个月以后原告伤情比受伤时严重</w:t>
      </w:r>
      <w:r>
        <w:rPr>
          <w:rFonts w:hint="eastAsia"/>
          <w:sz w:val="30"/>
          <w:szCs w:val="30"/>
        </w:rPr>
        <w:t>了，但鉴定报告没有说明二者之间的内在必然性，鉴定报告没有真实反映原告伤情，故因此产生的鉴定费和检查费应由原告承担。关于事发后的诊疗经过，原告称出事当天因伤情比较严重，双脚跟有受伤情况，无法行走，经医生检查左足跟受伤严重，有明显的骨折症状，当即医生给与石膏固定，用于保守治疗，右足跟经ＣＴ检查也有骨折症状，经医生检查治疗后，医嘱安排一周后对左足跟拍片复查，在家休息治疗</w:t>
      </w:r>
      <w:r>
        <w:rPr>
          <w:rFonts w:hint="eastAsia"/>
          <w:sz w:val="30"/>
          <w:szCs w:val="30"/>
        </w:rPr>
        <w:t>7</w:t>
      </w:r>
      <w:r>
        <w:rPr>
          <w:rFonts w:hint="eastAsia"/>
          <w:sz w:val="30"/>
          <w:szCs w:val="30"/>
        </w:rPr>
        <w:t>天后，原告又到泰安市××进行检查，经ＣＴ检查左足跟骨折明显，与初始诊断相吻合。被告则称，原告受伤时，伤情医学术语是连续性中断，含义是骨头出现裂纹</w:t>
      </w:r>
      <w:r>
        <w:rPr>
          <w:rFonts w:hint="eastAsia"/>
          <w:sz w:val="30"/>
          <w:szCs w:val="30"/>
        </w:rPr>
        <w:t>，对位位置的稳定性骨折，所以没有外科复位手术，用石膏固定治疗，</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日和</w:t>
      </w:r>
      <w:r>
        <w:rPr>
          <w:rFonts w:hint="eastAsia"/>
          <w:sz w:val="30"/>
          <w:szCs w:val="30"/>
        </w:rPr>
        <w:t>3</w:t>
      </w:r>
      <w:r>
        <w:rPr>
          <w:rFonts w:hint="eastAsia"/>
          <w:sz w:val="30"/>
          <w:szCs w:val="30"/>
        </w:rPr>
        <w:t>月</w:t>
      </w:r>
      <w:r>
        <w:rPr>
          <w:rFonts w:hint="eastAsia"/>
          <w:sz w:val="30"/>
          <w:szCs w:val="30"/>
        </w:rPr>
        <w:t>29</w:t>
      </w:r>
      <w:r>
        <w:rPr>
          <w:rFonts w:hint="eastAsia"/>
          <w:sz w:val="30"/>
          <w:szCs w:val="30"/>
        </w:rPr>
        <w:t>日都是此诊断意见，时隔</w:t>
      </w:r>
      <w:r>
        <w:rPr>
          <w:rFonts w:hint="eastAsia"/>
          <w:sz w:val="30"/>
          <w:szCs w:val="30"/>
        </w:rPr>
        <w:t>50</w:t>
      </w:r>
      <w:r>
        <w:rPr>
          <w:rFonts w:hint="eastAsia"/>
          <w:sz w:val="30"/>
          <w:szCs w:val="30"/>
        </w:rPr>
        <w:t>天后，郑金富又到肥城市梁氏骨科检查，病情发生了变化，</w:t>
      </w:r>
      <w:r>
        <w:rPr>
          <w:rFonts w:hint="eastAsia"/>
          <w:sz w:val="30"/>
          <w:szCs w:val="30"/>
        </w:rPr>
        <w:t>6</w:t>
      </w:r>
      <w:r>
        <w:rPr>
          <w:rFonts w:hint="eastAsia"/>
          <w:sz w:val="30"/>
          <w:szCs w:val="30"/>
        </w:rPr>
        <w:t>月</w:t>
      </w:r>
      <w:r>
        <w:rPr>
          <w:rFonts w:hint="eastAsia"/>
          <w:sz w:val="30"/>
          <w:szCs w:val="30"/>
        </w:rPr>
        <w:t>22</w:t>
      </w:r>
      <w:r>
        <w:rPr>
          <w:rFonts w:hint="eastAsia"/>
          <w:sz w:val="30"/>
          <w:szCs w:val="30"/>
        </w:rPr>
        <w:t>日山东省煤炭泰山疗养院ＣＴ片显示粉碎性骨折，骨板畸形，原告应提供</w:t>
      </w:r>
      <w:r>
        <w:rPr>
          <w:rFonts w:hint="eastAsia"/>
          <w:sz w:val="30"/>
          <w:szCs w:val="30"/>
        </w:rPr>
        <w:t>3</w:t>
      </w:r>
      <w:r>
        <w:rPr>
          <w:rFonts w:hint="eastAsia"/>
          <w:sz w:val="30"/>
          <w:szCs w:val="30"/>
        </w:rPr>
        <w:t>月</w:t>
      </w:r>
      <w:r>
        <w:rPr>
          <w:rFonts w:hint="eastAsia"/>
          <w:sz w:val="30"/>
          <w:szCs w:val="30"/>
        </w:rPr>
        <w:t>22</w:t>
      </w:r>
      <w:r>
        <w:rPr>
          <w:rFonts w:hint="eastAsia"/>
          <w:sz w:val="30"/>
          <w:szCs w:val="30"/>
        </w:rPr>
        <w:t>日在泰安市××左跟骨的ＣＴ片子及书面报告来证实原发伤情，过后的检查都无法排除再次受伤扩大伤情的可能，如果当时受伤时是粉碎性骨折畸形，泰安市××的石膏固定治疗措施就是错误的，属于医疗事故，应由医院承担责任，如果</w:t>
      </w:r>
      <w:r>
        <w:rPr>
          <w:rFonts w:hint="eastAsia"/>
          <w:sz w:val="30"/>
          <w:szCs w:val="30"/>
        </w:rPr>
        <w:t>3</w:t>
      </w:r>
      <w:r>
        <w:rPr>
          <w:rFonts w:hint="eastAsia"/>
          <w:sz w:val="30"/>
          <w:szCs w:val="30"/>
        </w:rPr>
        <w:t>月</w:t>
      </w:r>
      <w:r>
        <w:rPr>
          <w:rFonts w:hint="eastAsia"/>
          <w:sz w:val="30"/>
          <w:szCs w:val="30"/>
        </w:rPr>
        <w:t>22</w:t>
      </w:r>
      <w:r>
        <w:rPr>
          <w:rFonts w:hint="eastAsia"/>
          <w:sz w:val="30"/>
          <w:szCs w:val="30"/>
        </w:rPr>
        <w:t>日的检查及治疗是正确的，那么两个月后的粉碎性骨</w:t>
      </w:r>
      <w:r>
        <w:rPr>
          <w:rFonts w:hint="eastAsia"/>
          <w:sz w:val="30"/>
          <w:szCs w:val="30"/>
        </w:rPr>
        <w:t>折、骨折畸形就是受到外力所致，与初始受伤无关联性。为此，被告提出如下鉴定申请：</w:t>
      </w:r>
      <w:r>
        <w:rPr>
          <w:rFonts w:hint="eastAsia"/>
          <w:sz w:val="30"/>
          <w:szCs w:val="30"/>
        </w:rPr>
        <w:t>1.</w:t>
      </w:r>
      <w:r>
        <w:rPr>
          <w:rFonts w:hint="eastAsia"/>
          <w:sz w:val="30"/>
          <w:szCs w:val="30"/>
        </w:rPr>
        <w:t>对郑金富十级伤残与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日伤情“右跟骨轴位骨皮质连续中断，见线样骨折线影”的病情关联度进行鉴定；</w:t>
      </w:r>
      <w:r>
        <w:rPr>
          <w:rFonts w:hint="eastAsia"/>
          <w:sz w:val="30"/>
          <w:szCs w:val="30"/>
        </w:rPr>
        <w:t>2.</w:t>
      </w:r>
      <w:r>
        <w:rPr>
          <w:rFonts w:hint="eastAsia"/>
          <w:sz w:val="30"/>
          <w:szCs w:val="30"/>
        </w:rPr>
        <w:t>对郑金富左跟骨十级伤残与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日在泰安市××确诊时左跟骨骨折的关联程度进行鉴定；</w:t>
      </w:r>
      <w:r>
        <w:rPr>
          <w:rFonts w:hint="eastAsia"/>
          <w:sz w:val="30"/>
          <w:szCs w:val="30"/>
        </w:rPr>
        <w:t>3.</w:t>
      </w:r>
      <w:r>
        <w:rPr>
          <w:rFonts w:hint="eastAsia"/>
          <w:sz w:val="30"/>
          <w:szCs w:val="30"/>
        </w:rPr>
        <w:t>对</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日伤情的误工期、护理期、营养期进行鉴定。一审法院依法委托泰安市中医院司法鉴定所进行鉴定，该所出具《情况说明函》一份，记载：上述第</w:t>
      </w:r>
      <w:r>
        <w:rPr>
          <w:rFonts w:hint="eastAsia"/>
          <w:sz w:val="30"/>
          <w:szCs w:val="30"/>
        </w:rPr>
        <w:t>1</w:t>
      </w:r>
      <w:r>
        <w:rPr>
          <w:rFonts w:hint="eastAsia"/>
          <w:sz w:val="30"/>
          <w:szCs w:val="30"/>
        </w:rPr>
        <w:t>、</w:t>
      </w:r>
      <w:r>
        <w:rPr>
          <w:rFonts w:hint="eastAsia"/>
          <w:sz w:val="30"/>
          <w:szCs w:val="30"/>
        </w:rPr>
        <w:t>2</w:t>
      </w:r>
      <w:r>
        <w:rPr>
          <w:rFonts w:hint="eastAsia"/>
          <w:sz w:val="30"/>
          <w:szCs w:val="30"/>
        </w:rPr>
        <w:t>鉴定事项的十级伤残的损伤基础均是左跟骨粉碎性骨折，第</w:t>
      </w:r>
      <w:r>
        <w:rPr>
          <w:rFonts w:hint="eastAsia"/>
          <w:sz w:val="30"/>
          <w:szCs w:val="30"/>
        </w:rPr>
        <w:t>3</w:t>
      </w:r>
      <w:r>
        <w:rPr>
          <w:rFonts w:hint="eastAsia"/>
          <w:sz w:val="30"/>
          <w:szCs w:val="30"/>
        </w:rPr>
        <w:t>鉴定事项误工期</w:t>
      </w:r>
      <w:r>
        <w:rPr>
          <w:rFonts w:hint="eastAsia"/>
          <w:sz w:val="30"/>
          <w:szCs w:val="30"/>
        </w:rPr>
        <w:t>、护理期、营养期的评定因跟骨骨折的程度不同而不同。从贵单位提供的被鉴定人郑金富的鉴定材料看，郑金富于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日受伤，急诊于泰安市××，但提供的受伤当天的影像资料并无左足影像检查，仅有右足ＣＴ检查，</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日才有左足Ｘ片。根据目前现有鉴定材料仅能确定</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日被鉴定人左足跟骨骨折，但无法判断此次受伤导致的左足跟骨骨折是粉碎性骨折、线性骨折还是撕脱性骨折，所以对于第二项鉴定申请及第三项鉴定申请无法得出有效结论，致使鉴定工作无法进行。</w:t>
      </w:r>
      <w:r>
        <w:rPr>
          <w:rFonts w:hint="eastAsia"/>
          <w:sz w:val="30"/>
          <w:szCs w:val="30"/>
        </w:rPr>
        <w:t>2022</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日，泰安市中医医院司法鉴定所出具</w:t>
      </w:r>
      <w:r>
        <w:rPr>
          <w:rFonts w:hint="eastAsia"/>
          <w:sz w:val="30"/>
          <w:szCs w:val="30"/>
        </w:rPr>
        <w:t>终止鉴定告知书，因鉴定过程中的鉴定材料不能满足鉴定所需，致使鉴定工作无法进行，故终止鉴定委托。后原告申请对其伤残等级、误工期限、护理期限、营养期进行鉴定。一审法院依法委托山东阅微司法鉴定中心对上述事项进行鉴定，该所于</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日出具鲁阅司鉴【</w:t>
      </w:r>
      <w:r>
        <w:rPr>
          <w:rFonts w:hint="eastAsia"/>
          <w:sz w:val="30"/>
          <w:szCs w:val="30"/>
        </w:rPr>
        <w:t>2022</w:t>
      </w:r>
      <w:r>
        <w:rPr>
          <w:rFonts w:hint="eastAsia"/>
          <w:sz w:val="30"/>
          <w:szCs w:val="30"/>
        </w:rPr>
        <w:t>】临鉴字第</w:t>
      </w:r>
      <w:r>
        <w:rPr>
          <w:rFonts w:hint="eastAsia"/>
          <w:sz w:val="30"/>
          <w:szCs w:val="30"/>
        </w:rPr>
        <w:t>598</w:t>
      </w:r>
      <w:r>
        <w:rPr>
          <w:rFonts w:hint="eastAsia"/>
          <w:sz w:val="30"/>
          <w:szCs w:val="30"/>
        </w:rPr>
        <w:t>号司法鉴定意见书，鉴定意见为：被鉴定人郑金富目前左跟骨骨折畸形愈合鉴定为十级伤残；被鉴定人郑金富的误工期、护理期、营养期建议分别为</w:t>
      </w:r>
      <w:r>
        <w:rPr>
          <w:rFonts w:hint="eastAsia"/>
          <w:sz w:val="30"/>
          <w:szCs w:val="30"/>
        </w:rPr>
        <w:t>210</w:t>
      </w:r>
      <w:r>
        <w:rPr>
          <w:rFonts w:hint="eastAsia"/>
          <w:sz w:val="30"/>
          <w:szCs w:val="30"/>
        </w:rPr>
        <w:t>日、</w:t>
      </w:r>
      <w:r>
        <w:rPr>
          <w:rFonts w:hint="eastAsia"/>
          <w:sz w:val="30"/>
          <w:szCs w:val="30"/>
        </w:rPr>
        <w:t>60</w:t>
      </w:r>
      <w:r>
        <w:rPr>
          <w:rFonts w:hint="eastAsia"/>
          <w:sz w:val="30"/>
          <w:szCs w:val="30"/>
        </w:rPr>
        <w:t>日、</w:t>
      </w:r>
      <w:r>
        <w:rPr>
          <w:rFonts w:hint="eastAsia"/>
          <w:sz w:val="30"/>
          <w:szCs w:val="30"/>
        </w:rPr>
        <w:t>90</w:t>
      </w:r>
      <w:r>
        <w:rPr>
          <w:rFonts w:hint="eastAsia"/>
          <w:sz w:val="30"/>
          <w:szCs w:val="30"/>
        </w:rPr>
        <w:t>日。鉴定意见书中“关于伤残等级”部分记载：“被鉴定人虽然受伤当日及一周后的病历记载均诊</w:t>
      </w:r>
      <w:r>
        <w:rPr>
          <w:rFonts w:hint="eastAsia"/>
          <w:sz w:val="30"/>
          <w:szCs w:val="30"/>
        </w:rPr>
        <w:t>断为左足跟骨骨折并石膏外固定治疗，但无当日左足影像片予以印证。后我机构申请补充受伤当日左足影像资料，表示受伤当日只有右足影像片。故被鉴定人左足评定为十级伤残是否因本次外伤造成，现有质证鉴定材料因缺乏受伤当日左足影像片（需与后期左足影像片进行比对）本机构而无法认定”。原告为此支出鉴定费</w:t>
      </w:r>
      <w:r>
        <w:rPr>
          <w:rFonts w:hint="eastAsia"/>
          <w:sz w:val="30"/>
          <w:szCs w:val="30"/>
        </w:rPr>
        <w:t>3700</w:t>
      </w:r>
      <w:r>
        <w:rPr>
          <w:rFonts w:hint="eastAsia"/>
          <w:sz w:val="30"/>
          <w:szCs w:val="30"/>
        </w:rPr>
        <w:t>元。被告称因为被鉴定人左足造成伤残是否因本次外伤造成因缺乏受伤当日左足影像片，导致无法认定，故该鉴定书与本案没有关联性。本案审理中，原告依据上述鉴定意见书明确了其各项诉求及计算依据，归纳如下：</w:t>
      </w:r>
      <w:r>
        <w:rPr>
          <w:rFonts w:hint="eastAsia"/>
          <w:sz w:val="30"/>
          <w:szCs w:val="30"/>
        </w:rPr>
        <w:t>1.</w:t>
      </w:r>
      <w:r>
        <w:rPr>
          <w:rFonts w:hint="eastAsia"/>
          <w:sz w:val="30"/>
          <w:szCs w:val="30"/>
        </w:rPr>
        <w:t>伤残赔偿金为</w:t>
      </w:r>
      <w:r>
        <w:rPr>
          <w:rFonts w:hint="eastAsia"/>
          <w:sz w:val="30"/>
          <w:szCs w:val="30"/>
        </w:rPr>
        <w:t>84718.</w:t>
      </w:r>
      <w:r>
        <w:rPr>
          <w:rFonts w:hint="eastAsia"/>
          <w:sz w:val="30"/>
          <w:szCs w:val="30"/>
        </w:rPr>
        <w:t>8</w:t>
      </w:r>
      <w:r>
        <w:rPr>
          <w:rFonts w:hint="eastAsia"/>
          <w:sz w:val="30"/>
          <w:szCs w:val="30"/>
        </w:rPr>
        <w:t>元。按照</w:t>
      </w:r>
      <w:r>
        <w:rPr>
          <w:rFonts w:hint="eastAsia"/>
          <w:sz w:val="30"/>
          <w:szCs w:val="30"/>
        </w:rPr>
        <w:t>2021</w:t>
      </w:r>
      <w:r>
        <w:rPr>
          <w:rFonts w:hint="eastAsia"/>
          <w:sz w:val="30"/>
          <w:szCs w:val="30"/>
        </w:rPr>
        <w:t>度山东省城镇居民人均可支配收入标准（</w:t>
      </w:r>
      <w:r>
        <w:rPr>
          <w:rFonts w:hint="eastAsia"/>
          <w:sz w:val="30"/>
          <w:szCs w:val="30"/>
        </w:rPr>
        <w:t>47066</w:t>
      </w:r>
      <w:r>
        <w:rPr>
          <w:rFonts w:hint="eastAsia"/>
          <w:sz w:val="30"/>
          <w:szCs w:val="30"/>
        </w:rPr>
        <w:t>元×</w:t>
      </w:r>
      <w:r>
        <w:rPr>
          <w:rFonts w:hint="eastAsia"/>
          <w:sz w:val="30"/>
          <w:szCs w:val="30"/>
        </w:rPr>
        <w:t>18</w:t>
      </w:r>
      <w:r>
        <w:rPr>
          <w:rFonts w:hint="eastAsia"/>
          <w:sz w:val="30"/>
          <w:szCs w:val="30"/>
        </w:rPr>
        <w:t>年×</w:t>
      </w:r>
      <w:r>
        <w:rPr>
          <w:rFonts w:hint="eastAsia"/>
          <w:sz w:val="30"/>
          <w:szCs w:val="30"/>
        </w:rPr>
        <w:t>10%</w:t>
      </w:r>
      <w:r>
        <w:rPr>
          <w:rFonts w:hint="eastAsia"/>
          <w:sz w:val="30"/>
          <w:szCs w:val="30"/>
        </w:rPr>
        <w:t>）。</w:t>
      </w:r>
      <w:r>
        <w:rPr>
          <w:rFonts w:hint="eastAsia"/>
          <w:sz w:val="30"/>
          <w:szCs w:val="30"/>
        </w:rPr>
        <w:t>2.</w:t>
      </w:r>
      <w:r>
        <w:rPr>
          <w:rFonts w:hint="eastAsia"/>
          <w:sz w:val="30"/>
          <w:szCs w:val="30"/>
        </w:rPr>
        <w:t>误工费为</w:t>
      </w:r>
      <w:r>
        <w:rPr>
          <w:rFonts w:hint="eastAsia"/>
          <w:sz w:val="30"/>
          <w:szCs w:val="30"/>
        </w:rPr>
        <w:t>44694</w:t>
      </w:r>
      <w:r>
        <w:rPr>
          <w:rFonts w:hint="eastAsia"/>
          <w:sz w:val="30"/>
          <w:szCs w:val="30"/>
        </w:rPr>
        <w:t>元。根据鉴定意见书鉴定的误工期为</w:t>
      </w:r>
      <w:r>
        <w:rPr>
          <w:rFonts w:hint="eastAsia"/>
          <w:sz w:val="30"/>
          <w:szCs w:val="30"/>
        </w:rPr>
        <w:t>210</w:t>
      </w:r>
      <w:r>
        <w:rPr>
          <w:rFonts w:hint="eastAsia"/>
          <w:sz w:val="30"/>
          <w:szCs w:val="30"/>
        </w:rPr>
        <w:t>天，原告系常年从事建筑劳务的从业人员，按照受伤时建筑行业人均工资为</w:t>
      </w:r>
      <w:r>
        <w:rPr>
          <w:rFonts w:hint="eastAsia"/>
          <w:sz w:val="30"/>
          <w:szCs w:val="30"/>
        </w:rPr>
        <w:t>77683</w:t>
      </w:r>
      <w:r>
        <w:rPr>
          <w:rFonts w:hint="eastAsia"/>
          <w:sz w:val="30"/>
          <w:szCs w:val="30"/>
        </w:rPr>
        <w:t>元，每天</w:t>
      </w:r>
      <w:r>
        <w:rPr>
          <w:rFonts w:hint="eastAsia"/>
          <w:sz w:val="30"/>
          <w:szCs w:val="30"/>
        </w:rPr>
        <w:t>212.5</w:t>
      </w:r>
      <w:r>
        <w:rPr>
          <w:rFonts w:hint="eastAsia"/>
          <w:sz w:val="30"/>
          <w:szCs w:val="30"/>
        </w:rPr>
        <w:t>元。</w:t>
      </w:r>
      <w:r>
        <w:rPr>
          <w:rFonts w:hint="eastAsia"/>
          <w:sz w:val="30"/>
          <w:szCs w:val="30"/>
        </w:rPr>
        <w:t>3.</w:t>
      </w:r>
      <w:r>
        <w:rPr>
          <w:rFonts w:hint="eastAsia"/>
          <w:sz w:val="30"/>
          <w:szCs w:val="30"/>
        </w:rPr>
        <w:t>护理费</w:t>
      </w:r>
      <w:r>
        <w:rPr>
          <w:rFonts w:hint="eastAsia"/>
          <w:sz w:val="30"/>
          <w:szCs w:val="30"/>
        </w:rPr>
        <w:t>5869.3</w:t>
      </w:r>
      <w:r>
        <w:rPr>
          <w:rFonts w:hint="eastAsia"/>
          <w:sz w:val="30"/>
          <w:szCs w:val="30"/>
        </w:rPr>
        <w:t>元。原告由其配偶护理，按照鉴定报告的护理天数并按照</w:t>
      </w:r>
      <w:r>
        <w:rPr>
          <w:rFonts w:hint="eastAsia"/>
          <w:sz w:val="30"/>
          <w:szCs w:val="30"/>
        </w:rPr>
        <w:t>2021</w:t>
      </w:r>
      <w:r>
        <w:rPr>
          <w:rFonts w:hint="eastAsia"/>
          <w:sz w:val="30"/>
          <w:szCs w:val="30"/>
        </w:rPr>
        <w:t>年度山东省居民人均可支配收入</w:t>
      </w:r>
      <w:r>
        <w:rPr>
          <w:rFonts w:hint="eastAsia"/>
          <w:sz w:val="30"/>
          <w:szCs w:val="30"/>
        </w:rPr>
        <w:t>35705</w:t>
      </w:r>
      <w:r>
        <w:rPr>
          <w:rFonts w:hint="eastAsia"/>
          <w:sz w:val="30"/>
          <w:szCs w:val="30"/>
        </w:rPr>
        <w:t>元标准计算。</w:t>
      </w:r>
      <w:r>
        <w:rPr>
          <w:rFonts w:hint="eastAsia"/>
          <w:sz w:val="30"/>
          <w:szCs w:val="30"/>
        </w:rPr>
        <w:t>4.</w:t>
      </w:r>
      <w:r>
        <w:rPr>
          <w:rFonts w:hint="eastAsia"/>
          <w:sz w:val="30"/>
          <w:szCs w:val="30"/>
        </w:rPr>
        <w:t>营养费为</w:t>
      </w:r>
      <w:r>
        <w:rPr>
          <w:rFonts w:hint="eastAsia"/>
          <w:sz w:val="30"/>
          <w:szCs w:val="30"/>
        </w:rPr>
        <w:t>9000</w:t>
      </w:r>
      <w:r>
        <w:rPr>
          <w:rFonts w:hint="eastAsia"/>
          <w:sz w:val="30"/>
          <w:szCs w:val="30"/>
        </w:rPr>
        <w:t>元。根据鉴定意见书鉴定的营养期为</w:t>
      </w:r>
      <w:r>
        <w:rPr>
          <w:rFonts w:hint="eastAsia"/>
          <w:sz w:val="30"/>
          <w:szCs w:val="30"/>
        </w:rPr>
        <w:t>90</w:t>
      </w:r>
      <w:r>
        <w:rPr>
          <w:rFonts w:hint="eastAsia"/>
          <w:sz w:val="30"/>
          <w:szCs w:val="30"/>
        </w:rPr>
        <w:t>天，参照国家机关工作人员的出差标准</w:t>
      </w:r>
      <w:r>
        <w:rPr>
          <w:rFonts w:hint="eastAsia"/>
          <w:sz w:val="30"/>
          <w:szCs w:val="30"/>
        </w:rPr>
        <w:t>100</w:t>
      </w:r>
      <w:r>
        <w:rPr>
          <w:rFonts w:hint="eastAsia"/>
          <w:sz w:val="30"/>
          <w:szCs w:val="30"/>
        </w:rPr>
        <w:t>元／天的标准计算。</w:t>
      </w:r>
      <w:r>
        <w:rPr>
          <w:rFonts w:hint="eastAsia"/>
          <w:sz w:val="30"/>
          <w:szCs w:val="30"/>
        </w:rPr>
        <w:t>5.</w:t>
      </w:r>
      <w:r>
        <w:rPr>
          <w:rFonts w:hint="eastAsia"/>
          <w:sz w:val="30"/>
          <w:szCs w:val="30"/>
        </w:rPr>
        <w:t>鉴定费</w:t>
      </w:r>
      <w:r>
        <w:rPr>
          <w:rFonts w:hint="eastAsia"/>
          <w:sz w:val="30"/>
          <w:szCs w:val="30"/>
        </w:rPr>
        <w:t>3700</w:t>
      </w:r>
      <w:r>
        <w:rPr>
          <w:rFonts w:hint="eastAsia"/>
          <w:sz w:val="30"/>
          <w:szCs w:val="30"/>
        </w:rPr>
        <w:t>元。对</w:t>
      </w:r>
      <w:r>
        <w:rPr>
          <w:rFonts w:hint="eastAsia"/>
          <w:sz w:val="30"/>
          <w:szCs w:val="30"/>
        </w:rPr>
        <w:t>于上述计算方式，被告均没有意见。</w:t>
      </w:r>
    </w:p>
    <w:p w:rsidR="00000000" w:rsidRDefault="002A7B34">
      <w:pPr>
        <w:spacing w:line="500" w:lineRule="atLeast"/>
        <w:ind w:firstLine="600"/>
        <w:divId w:val="319501845"/>
        <w:rPr>
          <w:rFonts w:hint="eastAsia"/>
          <w:sz w:val="30"/>
          <w:szCs w:val="30"/>
        </w:rPr>
      </w:pPr>
      <w:r>
        <w:rPr>
          <w:rFonts w:hint="eastAsia"/>
          <w:sz w:val="30"/>
          <w:szCs w:val="30"/>
        </w:rPr>
        <w:t>一审法院认为，根据原被告的陈述可以证实，原告受雇于被告工作的过程中，不慎从架子上跌落，致其本人受伤，原告在事故发生前已经跟随被告工作，接受其指派，完成其安排的工作，劳务报酬由被告发放，以上事实足以证实原告为被告提供劳务的事实，双方之间依法建立起提供劳务关系。《中华人民共和国民法典》第一千一百九十二条规定，个人之间形成劳务关系，提供劳务一方因劳务受到损害的，根据双方各自的过错承担相应的责任。本案中，被告在组织原告从事具有一定危险性的作业时没有提供足够的安全生产条件或采取相应的</w:t>
      </w:r>
      <w:r>
        <w:rPr>
          <w:rFonts w:hint="eastAsia"/>
          <w:sz w:val="30"/>
          <w:szCs w:val="30"/>
        </w:rPr>
        <w:t>安全保护措施，未在施工现场尽到充分的指导、管理义务，具有较大过错，依法应对本案事故负主要责任。原告作为长期从事该项工作的工人，明知存在一定危险，未尽到合理注意义务，存在疏忽，对本案事故的发生亦负有一定责任。本案综合原被告各自过错，酌情确定被告对原告损害后果承担</w:t>
      </w:r>
      <w:r>
        <w:rPr>
          <w:rFonts w:hint="eastAsia"/>
          <w:sz w:val="30"/>
          <w:szCs w:val="30"/>
        </w:rPr>
        <w:t>60%</w:t>
      </w:r>
      <w:r>
        <w:rPr>
          <w:rFonts w:hint="eastAsia"/>
          <w:sz w:val="30"/>
          <w:szCs w:val="30"/>
        </w:rPr>
        <w:t>的责任，原告自负</w:t>
      </w:r>
      <w:r>
        <w:rPr>
          <w:rFonts w:hint="eastAsia"/>
          <w:sz w:val="30"/>
          <w:szCs w:val="30"/>
        </w:rPr>
        <w:t>40%</w:t>
      </w:r>
      <w:r>
        <w:rPr>
          <w:rFonts w:hint="eastAsia"/>
          <w:sz w:val="30"/>
          <w:szCs w:val="30"/>
        </w:rPr>
        <w:t>责任。本案的争议焦点为原告目前的左跟骨骨折畸形愈合的伤情构成的十级伤残是否是原告</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日的受伤导致的。本案中，原告因左足外伤</w:t>
      </w:r>
      <w:r>
        <w:rPr>
          <w:rFonts w:hint="eastAsia"/>
          <w:sz w:val="30"/>
          <w:szCs w:val="30"/>
        </w:rPr>
        <w:t>1</w:t>
      </w:r>
      <w:r>
        <w:rPr>
          <w:rFonts w:hint="eastAsia"/>
          <w:sz w:val="30"/>
          <w:szCs w:val="30"/>
        </w:rPr>
        <w:t>小时后到泰安市××急诊进行诊疗，医生给予石膏固定制动并开具消肿活血药物进行对症治疗，原</w:t>
      </w:r>
      <w:r>
        <w:rPr>
          <w:rFonts w:hint="eastAsia"/>
          <w:sz w:val="30"/>
          <w:szCs w:val="30"/>
        </w:rPr>
        <w:t>告在一周后遵医嘱到泰安市××和肥城市××庄梁氏骨科医院进行复查，诊断结果均为左跟骨骨折，</w:t>
      </w:r>
      <w:r>
        <w:rPr>
          <w:rFonts w:hint="eastAsia"/>
          <w:sz w:val="30"/>
          <w:szCs w:val="30"/>
        </w:rPr>
        <w:t>6</w:t>
      </w:r>
      <w:r>
        <w:rPr>
          <w:rFonts w:hint="eastAsia"/>
          <w:sz w:val="30"/>
          <w:szCs w:val="30"/>
        </w:rPr>
        <w:t>月</w:t>
      </w:r>
      <w:r>
        <w:rPr>
          <w:rFonts w:hint="eastAsia"/>
          <w:sz w:val="30"/>
          <w:szCs w:val="30"/>
        </w:rPr>
        <w:t>22</w:t>
      </w:r>
      <w:r>
        <w:rPr>
          <w:rFonts w:hint="eastAsia"/>
          <w:sz w:val="30"/>
          <w:szCs w:val="30"/>
        </w:rPr>
        <w:t>日到山东省煤炭泰山疗养院复查时显示左侧跟骨断端错位畸形，经一审法院委托相关鉴定机构，原告目前的伤情构成十级伤残。原告受伤后由专业医生行闭合复位树脂类外固定治疗，未拍摄左足跟的相关影像片，被告因此对原告事发当天的伤情持有异议，并申请对原告左跟骨十级伤残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日在泰安市××确诊时左跟骨骨折的关联程度进行鉴定，后经一审法院委托鉴定，因缺乏事发当天的左跟骨的影像片导致无法就关联程度作出鉴定，但原告作为社会一</w:t>
      </w:r>
      <w:r>
        <w:rPr>
          <w:rFonts w:hint="eastAsia"/>
          <w:sz w:val="30"/>
          <w:szCs w:val="30"/>
        </w:rPr>
        <w:t>般人，不能确定自己的伤情和具体的诊疗方法、手段，只能由专业医生来确定相关诊疗措施，医生未安排拍摄左足跟影像片的不利法律后果不应由原告承担，且即使未拍摄左足跟的影像片，不排除原告的左足跟已经构成粉碎性骨折，且跟骨粉碎性骨折是采取保守治疗还是手术治疗，需要结合骨折的部位以及具体的情况来决定，是否累及到了关节面侧、是否影响了跟骨的结构等因素综合确定，被告不能仅以原告受伤当时采取了保守治疗措施就推定原告的伤情不构成伤残，且因个体差异等因素，每个人的恢复情况不尽相同，伤残评定标准是根据伤者最终恢复情况来认定伤残等级，</w:t>
      </w:r>
      <w:r>
        <w:rPr>
          <w:rFonts w:hint="eastAsia"/>
          <w:sz w:val="30"/>
          <w:szCs w:val="30"/>
        </w:rPr>
        <w:t>综合以上情况，可以认定原告最终的伤残等级系与原发性损伤之间存在因果关系，被告虽辩称“两个月后的粉碎性骨折、骨折畸形就是受到外力所致”，但被告未提供证据证实自己的主张，应当承担对己不利的法律后果。关于原告因本次事故所受损失，被告对计算方式无异议，一审法院对此予以确认，具体为：</w:t>
      </w:r>
      <w:r>
        <w:rPr>
          <w:rFonts w:hint="eastAsia"/>
          <w:sz w:val="30"/>
          <w:szCs w:val="30"/>
        </w:rPr>
        <w:t>1.</w:t>
      </w:r>
      <w:r>
        <w:rPr>
          <w:rFonts w:hint="eastAsia"/>
          <w:sz w:val="30"/>
          <w:szCs w:val="30"/>
        </w:rPr>
        <w:t>伤残赔偿金为</w:t>
      </w:r>
      <w:r>
        <w:rPr>
          <w:rFonts w:hint="eastAsia"/>
          <w:sz w:val="30"/>
          <w:szCs w:val="30"/>
        </w:rPr>
        <w:t>84718.8</w:t>
      </w:r>
      <w:r>
        <w:rPr>
          <w:rFonts w:hint="eastAsia"/>
          <w:sz w:val="30"/>
          <w:szCs w:val="30"/>
        </w:rPr>
        <w:t>元，</w:t>
      </w:r>
      <w:r>
        <w:rPr>
          <w:rFonts w:hint="eastAsia"/>
          <w:sz w:val="30"/>
          <w:szCs w:val="30"/>
        </w:rPr>
        <w:t>2.</w:t>
      </w:r>
      <w:r>
        <w:rPr>
          <w:rFonts w:hint="eastAsia"/>
          <w:sz w:val="30"/>
          <w:szCs w:val="30"/>
        </w:rPr>
        <w:t>误工费为</w:t>
      </w:r>
      <w:r>
        <w:rPr>
          <w:rFonts w:hint="eastAsia"/>
          <w:sz w:val="30"/>
          <w:szCs w:val="30"/>
        </w:rPr>
        <w:t>44694</w:t>
      </w:r>
      <w:r>
        <w:rPr>
          <w:rFonts w:hint="eastAsia"/>
          <w:sz w:val="30"/>
          <w:szCs w:val="30"/>
        </w:rPr>
        <w:t>元，</w:t>
      </w:r>
      <w:r>
        <w:rPr>
          <w:rFonts w:hint="eastAsia"/>
          <w:sz w:val="30"/>
          <w:szCs w:val="30"/>
        </w:rPr>
        <w:t>3.</w:t>
      </w:r>
      <w:r>
        <w:rPr>
          <w:rFonts w:hint="eastAsia"/>
          <w:sz w:val="30"/>
          <w:szCs w:val="30"/>
        </w:rPr>
        <w:t>护理费</w:t>
      </w:r>
      <w:r>
        <w:rPr>
          <w:rFonts w:hint="eastAsia"/>
          <w:sz w:val="30"/>
          <w:szCs w:val="30"/>
        </w:rPr>
        <w:t>5869.3</w:t>
      </w:r>
      <w:r>
        <w:rPr>
          <w:rFonts w:hint="eastAsia"/>
          <w:sz w:val="30"/>
          <w:szCs w:val="30"/>
        </w:rPr>
        <w:t>元，</w:t>
      </w:r>
      <w:r>
        <w:rPr>
          <w:rFonts w:hint="eastAsia"/>
          <w:sz w:val="30"/>
          <w:szCs w:val="30"/>
        </w:rPr>
        <w:t>4.</w:t>
      </w:r>
      <w:r>
        <w:rPr>
          <w:rFonts w:hint="eastAsia"/>
          <w:sz w:val="30"/>
          <w:szCs w:val="30"/>
        </w:rPr>
        <w:t>营养费为</w:t>
      </w:r>
      <w:r>
        <w:rPr>
          <w:rFonts w:hint="eastAsia"/>
          <w:sz w:val="30"/>
          <w:szCs w:val="30"/>
        </w:rPr>
        <w:t>9000</w:t>
      </w:r>
      <w:r>
        <w:rPr>
          <w:rFonts w:hint="eastAsia"/>
          <w:sz w:val="30"/>
          <w:szCs w:val="30"/>
        </w:rPr>
        <w:t>元，</w:t>
      </w:r>
      <w:r>
        <w:rPr>
          <w:rFonts w:hint="eastAsia"/>
          <w:sz w:val="30"/>
          <w:szCs w:val="30"/>
        </w:rPr>
        <w:t>5.</w:t>
      </w:r>
      <w:r>
        <w:rPr>
          <w:rFonts w:hint="eastAsia"/>
          <w:sz w:val="30"/>
          <w:szCs w:val="30"/>
        </w:rPr>
        <w:t>鉴定费</w:t>
      </w:r>
      <w:r>
        <w:rPr>
          <w:rFonts w:hint="eastAsia"/>
          <w:sz w:val="30"/>
          <w:szCs w:val="30"/>
        </w:rPr>
        <w:t>3700</w:t>
      </w:r>
      <w:r>
        <w:rPr>
          <w:rFonts w:hint="eastAsia"/>
          <w:sz w:val="30"/>
          <w:szCs w:val="30"/>
        </w:rPr>
        <w:t>元，以上共计</w:t>
      </w:r>
      <w:r>
        <w:rPr>
          <w:rFonts w:hint="eastAsia"/>
          <w:sz w:val="30"/>
          <w:szCs w:val="30"/>
        </w:rPr>
        <w:t>147982.1</w:t>
      </w:r>
      <w:r>
        <w:rPr>
          <w:rFonts w:hint="eastAsia"/>
          <w:sz w:val="30"/>
          <w:szCs w:val="30"/>
        </w:rPr>
        <w:t>元。根据前述一审法院对原被告的责任划分，被告应赔偿原告伤残赔偿金为</w:t>
      </w:r>
      <w:r>
        <w:rPr>
          <w:rFonts w:hint="eastAsia"/>
          <w:sz w:val="30"/>
          <w:szCs w:val="30"/>
        </w:rPr>
        <w:t>50831.28</w:t>
      </w:r>
      <w:r>
        <w:rPr>
          <w:rFonts w:hint="eastAsia"/>
          <w:sz w:val="30"/>
          <w:szCs w:val="30"/>
        </w:rPr>
        <w:t>元，误工费为</w:t>
      </w:r>
      <w:r>
        <w:rPr>
          <w:rFonts w:hint="eastAsia"/>
          <w:sz w:val="30"/>
          <w:szCs w:val="30"/>
        </w:rPr>
        <w:t>26816.4</w:t>
      </w:r>
      <w:r>
        <w:rPr>
          <w:rFonts w:hint="eastAsia"/>
          <w:sz w:val="30"/>
          <w:szCs w:val="30"/>
        </w:rPr>
        <w:t>元，护理费</w:t>
      </w:r>
      <w:r>
        <w:rPr>
          <w:rFonts w:hint="eastAsia"/>
          <w:sz w:val="30"/>
          <w:szCs w:val="30"/>
        </w:rPr>
        <w:t>3521.58</w:t>
      </w:r>
      <w:r>
        <w:rPr>
          <w:rFonts w:hint="eastAsia"/>
          <w:sz w:val="30"/>
          <w:szCs w:val="30"/>
        </w:rPr>
        <w:t>元，营养费为</w:t>
      </w:r>
      <w:r>
        <w:rPr>
          <w:rFonts w:hint="eastAsia"/>
          <w:sz w:val="30"/>
          <w:szCs w:val="30"/>
        </w:rPr>
        <w:t>5400</w:t>
      </w:r>
      <w:r>
        <w:rPr>
          <w:rFonts w:hint="eastAsia"/>
          <w:sz w:val="30"/>
          <w:szCs w:val="30"/>
        </w:rPr>
        <w:t>元，鉴定费</w:t>
      </w:r>
      <w:r>
        <w:rPr>
          <w:rFonts w:hint="eastAsia"/>
          <w:sz w:val="30"/>
          <w:szCs w:val="30"/>
        </w:rPr>
        <w:t>2220</w:t>
      </w:r>
      <w:r>
        <w:rPr>
          <w:rFonts w:hint="eastAsia"/>
          <w:sz w:val="30"/>
          <w:szCs w:val="30"/>
        </w:rPr>
        <w:t>元，以上共计</w:t>
      </w:r>
      <w:r>
        <w:rPr>
          <w:rFonts w:hint="eastAsia"/>
          <w:sz w:val="30"/>
          <w:szCs w:val="30"/>
        </w:rPr>
        <w:t>88789.26</w:t>
      </w:r>
      <w:r>
        <w:rPr>
          <w:rFonts w:hint="eastAsia"/>
          <w:sz w:val="30"/>
          <w:szCs w:val="30"/>
        </w:rPr>
        <w:t>元。被告称其已支付营养费</w:t>
      </w:r>
      <w:r>
        <w:rPr>
          <w:rFonts w:hint="eastAsia"/>
          <w:sz w:val="30"/>
          <w:szCs w:val="30"/>
        </w:rPr>
        <w:t>1000</w:t>
      </w:r>
      <w:r>
        <w:rPr>
          <w:rFonts w:hint="eastAsia"/>
          <w:sz w:val="30"/>
          <w:szCs w:val="30"/>
        </w:rPr>
        <w:t>元，原告则称该</w:t>
      </w:r>
      <w:r>
        <w:rPr>
          <w:rFonts w:hint="eastAsia"/>
          <w:sz w:val="30"/>
          <w:szCs w:val="30"/>
        </w:rPr>
        <w:t>1000</w:t>
      </w:r>
      <w:r>
        <w:rPr>
          <w:rFonts w:hint="eastAsia"/>
          <w:sz w:val="30"/>
          <w:szCs w:val="30"/>
        </w:rPr>
        <w:t>元系医疗费，被告未提供相应证据证实其支付的</w:t>
      </w:r>
      <w:r>
        <w:rPr>
          <w:rFonts w:hint="eastAsia"/>
          <w:sz w:val="30"/>
          <w:szCs w:val="30"/>
        </w:rPr>
        <w:t>1000</w:t>
      </w:r>
      <w:r>
        <w:rPr>
          <w:rFonts w:hint="eastAsia"/>
          <w:sz w:val="30"/>
          <w:szCs w:val="30"/>
        </w:rPr>
        <w:t>元系营养费，故对被告的该项辩称理由不予采信。综上，依照《最高人民法院关于适</w:t>
      </w:r>
      <w:r>
        <w:rPr>
          <w:rFonts w:hint="eastAsia"/>
          <w:sz w:val="30"/>
          <w:szCs w:val="30"/>
        </w:rPr>
        <w:t>用</w:t>
      </w:r>
      <w:r>
        <w:rPr>
          <w:rFonts w:hint="eastAsia"/>
          <w:sz w:val="30"/>
          <w:szCs w:val="30"/>
        </w:rPr>
        <w:t>时间效力的若干规定》第一条，《中华人民共和国民法典》第一千一百九十二条，《最高人民法院关于审理人身损</w:t>
      </w:r>
      <w:r>
        <w:rPr>
          <w:rFonts w:hint="eastAsia"/>
          <w:sz w:val="30"/>
          <w:szCs w:val="30"/>
        </w:rPr>
        <w:t>害</w:t>
      </w:r>
      <w:r>
        <w:rPr>
          <w:rFonts w:hint="eastAsia"/>
          <w:sz w:val="30"/>
          <w:szCs w:val="30"/>
        </w:rPr>
        <w:t>赔偿案件适用法律若干问题的解释》第七条、第八条、第十一条、第十二条，《中华人民共和国民事诉讼法》第六十七条规定，判</w:t>
      </w:r>
      <w:r>
        <w:rPr>
          <w:rFonts w:hint="eastAsia"/>
          <w:sz w:val="30"/>
          <w:szCs w:val="30"/>
        </w:rPr>
        <w:t>决：一、被告韩维勇于本判决生效之日起十日内支付应赔偿原告郑金富伤残赔偿金为</w:t>
      </w:r>
      <w:r>
        <w:rPr>
          <w:rFonts w:hint="eastAsia"/>
          <w:sz w:val="30"/>
          <w:szCs w:val="30"/>
        </w:rPr>
        <w:t>50831.28</w:t>
      </w:r>
      <w:r>
        <w:rPr>
          <w:rFonts w:hint="eastAsia"/>
          <w:sz w:val="30"/>
          <w:szCs w:val="30"/>
        </w:rPr>
        <w:t>元，误工费为</w:t>
      </w:r>
      <w:r>
        <w:rPr>
          <w:rFonts w:hint="eastAsia"/>
          <w:sz w:val="30"/>
          <w:szCs w:val="30"/>
        </w:rPr>
        <w:t>26816.4</w:t>
      </w:r>
      <w:r>
        <w:rPr>
          <w:rFonts w:hint="eastAsia"/>
          <w:sz w:val="30"/>
          <w:szCs w:val="30"/>
        </w:rPr>
        <w:t>元，护理费</w:t>
      </w:r>
      <w:r>
        <w:rPr>
          <w:rFonts w:hint="eastAsia"/>
          <w:sz w:val="30"/>
          <w:szCs w:val="30"/>
        </w:rPr>
        <w:t>3521.58</w:t>
      </w:r>
      <w:r>
        <w:rPr>
          <w:rFonts w:hint="eastAsia"/>
          <w:sz w:val="30"/>
          <w:szCs w:val="30"/>
        </w:rPr>
        <w:t>元，营养费为</w:t>
      </w:r>
      <w:r>
        <w:rPr>
          <w:rFonts w:hint="eastAsia"/>
          <w:sz w:val="30"/>
          <w:szCs w:val="30"/>
        </w:rPr>
        <w:t>5400</w:t>
      </w:r>
      <w:r>
        <w:rPr>
          <w:rFonts w:hint="eastAsia"/>
          <w:sz w:val="30"/>
          <w:szCs w:val="30"/>
        </w:rPr>
        <w:t>元，鉴定费</w:t>
      </w:r>
      <w:r>
        <w:rPr>
          <w:rFonts w:hint="eastAsia"/>
          <w:sz w:val="30"/>
          <w:szCs w:val="30"/>
        </w:rPr>
        <w:t>2220</w:t>
      </w:r>
      <w:r>
        <w:rPr>
          <w:rFonts w:hint="eastAsia"/>
          <w:sz w:val="30"/>
          <w:szCs w:val="30"/>
        </w:rPr>
        <w:t>元，以上共计</w:t>
      </w:r>
      <w:r>
        <w:rPr>
          <w:rFonts w:hint="eastAsia"/>
          <w:sz w:val="30"/>
          <w:szCs w:val="30"/>
        </w:rPr>
        <w:t>88789.26</w:t>
      </w:r>
      <w:r>
        <w:rPr>
          <w:rFonts w:hint="eastAsia"/>
          <w:sz w:val="30"/>
          <w:szCs w:val="30"/>
        </w:rPr>
        <w:t>元；二、驳回原告郑金富的其他诉讼请求。如果未按本判决指定的期间履行给付金钱义务，应当依照《中华人民共和国民事诉讼法》第二百六十条规定，加倍支付迟延履行期间的债务利息。案件受理费</w:t>
      </w:r>
      <w:r>
        <w:rPr>
          <w:rFonts w:hint="eastAsia"/>
          <w:sz w:val="30"/>
          <w:szCs w:val="30"/>
        </w:rPr>
        <w:t>1656</w:t>
      </w:r>
      <w:r>
        <w:rPr>
          <w:rFonts w:hint="eastAsia"/>
          <w:sz w:val="30"/>
          <w:szCs w:val="30"/>
        </w:rPr>
        <w:t>元，由原告郑金富负担</w:t>
      </w:r>
      <w:r>
        <w:rPr>
          <w:rFonts w:hint="eastAsia"/>
          <w:sz w:val="30"/>
          <w:szCs w:val="30"/>
        </w:rPr>
        <w:t>646</w:t>
      </w:r>
      <w:r>
        <w:rPr>
          <w:rFonts w:hint="eastAsia"/>
          <w:sz w:val="30"/>
          <w:szCs w:val="30"/>
        </w:rPr>
        <w:t>元，被告韩维勇负担</w:t>
      </w:r>
      <w:r>
        <w:rPr>
          <w:rFonts w:hint="eastAsia"/>
          <w:sz w:val="30"/>
          <w:szCs w:val="30"/>
        </w:rPr>
        <w:t>1010</w:t>
      </w:r>
      <w:r>
        <w:rPr>
          <w:rFonts w:hint="eastAsia"/>
          <w:sz w:val="30"/>
          <w:szCs w:val="30"/>
        </w:rPr>
        <w:t>元。</w:t>
      </w:r>
    </w:p>
    <w:p w:rsidR="00000000" w:rsidRDefault="002A7B34">
      <w:pPr>
        <w:spacing w:line="500" w:lineRule="atLeast"/>
        <w:ind w:firstLine="600"/>
        <w:divId w:val="1289966827"/>
        <w:rPr>
          <w:rFonts w:hint="eastAsia"/>
          <w:sz w:val="30"/>
          <w:szCs w:val="30"/>
        </w:rPr>
      </w:pPr>
      <w:r>
        <w:rPr>
          <w:rFonts w:hint="eastAsia"/>
          <w:sz w:val="30"/>
          <w:szCs w:val="30"/>
        </w:rPr>
        <w:t>二审中，当事人未提交新的证据。本院对一审查明的事实予以确认。</w:t>
      </w:r>
    </w:p>
    <w:p w:rsidR="00000000" w:rsidRDefault="002A7B34">
      <w:pPr>
        <w:spacing w:line="500" w:lineRule="atLeast"/>
        <w:ind w:firstLine="600"/>
        <w:divId w:val="1291327101"/>
        <w:rPr>
          <w:rFonts w:hint="eastAsia"/>
          <w:sz w:val="30"/>
          <w:szCs w:val="30"/>
        </w:rPr>
      </w:pPr>
      <w:r>
        <w:rPr>
          <w:rFonts w:hint="eastAsia"/>
          <w:sz w:val="30"/>
          <w:szCs w:val="30"/>
        </w:rPr>
        <w:t>本</w:t>
      </w:r>
      <w:r>
        <w:rPr>
          <w:rFonts w:hint="eastAsia"/>
          <w:sz w:val="30"/>
          <w:szCs w:val="30"/>
        </w:rPr>
        <w:t>院认为，《中华人民共和国民法典》第一千一百九十二条规定，个人之间形成劳务关系，提供劳务一方因劳务受到损害的，根据双方各自的过错承担相应的责任。本案中，被上诉人按上诉人指示从事劳务，该劳务具有一定的危险性。上诉人作为雇主，有义务对提供劳务一方进行安全培训，提供安全的劳动条件，并对现场施工予以监督管理，以避免损害发生。对于被上诉人所受损害，双方当事人均有过错，一审法院根据本案实际情况，认定上诉人承担</w:t>
      </w:r>
      <w:r>
        <w:rPr>
          <w:rFonts w:hint="eastAsia"/>
          <w:sz w:val="30"/>
          <w:szCs w:val="30"/>
        </w:rPr>
        <w:t>60%</w:t>
      </w:r>
      <w:r>
        <w:rPr>
          <w:rFonts w:hint="eastAsia"/>
          <w:sz w:val="30"/>
          <w:szCs w:val="30"/>
        </w:rPr>
        <w:t>责任，符合本案实际。上诉人并未提交充分证据证明被上诉人存在原发伤情，一审法院认定被上诉人伤残系由</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日事故导致并无不当。上诉人主张被上诉人损失系由医疗事故造成，未举证证明，本院不予支持。</w:t>
      </w:r>
    </w:p>
    <w:p w:rsidR="00000000" w:rsidRDefault="002A7B34">
      <w:pPr>
        <w:spacing w:line="500" w:lineRule="atLeast"/>
        <w:ind w:firstLine="600"/>
        <w:divId w:val="932129089"/>
        <w:rPr>
          <w:rFonts w:hint="eastAsia"/>
          <w:sz w:val="30"/>
          <w:szCs w:val="30"/>
        </w:rPr>
      </w:pPr>
      <w:r>
        <w:rPr>
          <w:rFonts w:hint="eastAsia"/>
          <w:sz w:val="30"/>
          <w:szCs w:val="30"/>
        </w:rPr>
        <w:t>综上所述，韩维勇上诉请求不能成立，应予驳回；一审判决认定事实清楚，适用法律正确，应予维持。依照《中华人民共和国民事诉讼法》第一百七十七条第一款第一项规定，判决如下：</w:t>
      </w:r>
    </w:p>
    <w:p w:rsidR="00000000" w:rsidRDefault="002A7B34">
      <w:pPr>
        <w:spacing w:line="500" w:lineRule="atLeast"/>
        <w:ind w:firstLine="600"/>
        <w:divId w:val="681320503"/>
        <w:rPr>
          <w:rFonts w:hint="eastAsia"/>
          <w:sz w:val="30"/>
          <w:szCs w:val="30"/>
        </w:rPr>
      </w:pPr>
      <w:r>
        <w:rPr>
          <w:rFonts w:hint="eastAsia"/>
          <w:sz w:val="30"/>
          <w:szCs w:val="30"/>
        </w:rPr>
        <w:t>驳回上诉，维持原判。</w:t>
      </w:r>
    </w:p>
    <w:p w:rsidR="00000000" w:rsidRDefault="002A7B34">
      <w:pPr>
        <w:spacing w:line="500" w:lineRule="atLeast"/>
        <w:ind w:firstLine="600"/>
        <w:divId w:val="2076009203"/>
        <w:rPr>
          <w:rFonts w:hint="eastAsia"/>
          <w:sz w:val="30"/>
          <w:szCs w:val="30"/>
        </w:rPr>
      </w:pPr>
      <w:r>
        <w:rPr>
          <w:rFonts w:hint="eastAsia"/>
          <w:sz w:val="30"/>
          <w:szCs w:val="30"/>
        </w:rPr>
        <w:t>二审案件受理费</w:t>
      </w:r>
      <w:r>
        <w:rPr>
          <w:rFonts w:hint="eastAsia"/>
          <w:sz w:val="30"/>
          <w:szCs w:val="30"/>
        </w:rPr>
        <w:t>2020</w:t>
      </w:r>
      <w:r>
        <w:rPr>
          <w:rFonts w:hint="eastAsia"/>
          <w:sz w:val="30"/>
          <w:szCs w:val="30"/>
        </w:rPr>
        <w:t>元，由上诉人韩维勇负担。</w:t>
      </w:r>
    </w:p>
    <w:p w:rsidR="00000000" w:rsidRDefault="002A7B34">
      <w:pPr>
        <w:spacing w:line="500" w:lineRule="atLeast"/>
        <w:ind w:firstLine="600"/>
        <w:divId w:val="984430359"/>
        <w:rPr>
          <w:rFonts w:hint="eastAsia"/>
          <w:sz w:val="30"/>
          <w:szCs w:val="30"/>
        </w:rPr>
      </w:pPr>
      <w:r>
        <w:rPr>
          <w:rFonts w:hint="eastAsia"/>
          <w:sz w:val="30"/>
          <w:szCs w:val="30"/>
        </w:rPr>
        <w:t>本判决为终审判决。</w:t>
      </w:r>
    </w:p>
    <w:p w:rsidR="00000000" w:rsidRDefault="002A7B34">
      <w:pPr>
        <w:spacing w:line="500" w:lineRule="atLeast"/>
        <w:jc w:val="right"/>
        <w:divId w:val="2035111334"/>
        <w:rPr>
          <w:rFonts w:hint="eastAsia"/>
          <w:sz w:val="30"/>
          <w:szCs w:val="30"/>
        </w:rPr>
      </w:pPr>
      <w:r>
        <w:rPr>
          <w:rFonts w:hint="eastAsia"/>
          <w:sz w:val="30"/>
          <w:szCs w:val="30"/>
        </w:rPr>
        <w:t>审判长　　毕经纶</w:t>
      </w:r>
    </w:p>
    <w:p w:rsidR="00000000" w:rsidRDefault="002A7B34">
      <w:pPr>
        <w:spacing w:line="500" w:lineRule="atLeast"/>
        <w:jc w:val="right"/>
        <w:divId w:val="1616445445"/>
        <w:rPr>
          <w:rFonts w:hint="eastAsia"/>
          <w:sz w:val="30"/>
          <w:szCs w:val="30"/>
        </w:rPr>
      </w:pPr>
      <w:r>
        <w:rPr>
          <w:rFonts w:hint="eastAsia"/>
          <w:sz w:val="30"/>
          <w:szCs w:val="30"/>
        </w:rPr>
        <w:t>审判员　　井　慧</w:t>
      </w:r>
    </w:p>
    <w:p w:rsidR="00000000" w:rsidRDefault="002A7B34">
      <w:pPr>
        <w:spacing w:line="500" w:lineRule="atLeast"/>
        <w:jc w:val="right"/>
        <w:divId w:val="911502163"/>
        <w:rPr>
          <w:rFonts w:hint="eastAsia"/>
          <w:sz w:val="30"/>
          <w:szCs w:val="30"/>
        </w:rPr>
      </w:pPr>
      <w:r>
        <w:rPr>
          <w:rFonts w:hint="eastAsia"/>
          <w:sz w:val="30"/>
          <w:szCs w:val="30"/>
        </w:rPr>
        <w:t>审判员　　于永刚</w:t>
      </w:r>
    </w:p>
    <w:p w:rsidR="00000000" w:rsidRDefault="002A7B34">
      <w:pPr>
        <w:spacing w:line="500" w:lineRule="atLeast"/>
        <w:jc w:val="right"/>
        <w:divId w:val="3826746"/>
        <w:rPr>
          <w:rFonts w:hint="eastAsia"/>
          <w:sz w:val="30"/>
          <w:szCs w:val="30"/>
        </w:rPr>
      </w:pPr>
      <w:r>
        <w:rPr>
          <w:rFonts w:hint="eastAsia"/>
          <w:sz w:val="30"/>
          <w:szCs w:val="30"/>
        </w:rPr>
        <w:t>二〇二二年十二月十三日</w:t>
      </w:r>
    </w:p>
    <w:p w:rsidR="00000000" w:rsidRDefault="002A7B34">
      <w:pPr>
        <w:spacing w:line="500" w:lineRule="atLeast"/>
        <w:jc w:val="right"/>
        <w:divId w:val="694429122"/>
        <w:rPr>
          <w:rFonts w:hint="eastAsia"/>
          <w:sz w:val="30"/>
          <w:szCs w:val="30"/>
        </w:rPr>
      </w:pPr>
      <w:r>
        <w:rPr>
          <w:rFonts w:hint="eastAsia"/>
          <w:sz w:val="30"/>
          <w:szCs w:val="30"/>
        </w:rPr>
        <w:t>书记员　　左文静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B34" w:rsidRDefault="002A7B34" w:rsidP="002A7B34">
      <w:r>
        <w:separator/>
      </w:r>
    </w:p>
  </w:endnote>
  <w:endnote w:type="continuationSeparator" w:id="0">
    <w:p w:rsidR="002A7B34" w:rsidRDefault="002A7B34" w:rsidP="002A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B34" w:rsidRDefault="002A7B34" w:rsidP="002A7B34">
      <w:r>
        <w:separator/>
      </w:r>
    </w:p>
  </w:footnote>
  <w:footnote w:type="continuationSeparator" w:id="0">
    <w:p w:rsidR="002A7B34" w:rsidRDefault="002A7B34" w:rsidP="002A7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7B34"/>
    <w:rsid w:val="002A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7B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B34"/>
    <w:rPr>
      <w:rFonts w:ascii="宋体" w:eastAsia="宋体" w:hAnsi="宋体" w:cs="宋体"/>
      <w:sz w:val="18"/>
      <w:szCs w:val="18"/>
    </w:rPr>
  </w:style>
  <w:style w:type="paragraph" w:styleId="a5">
    <w:name w:val="footer"/>
    <w:basedOn w:val="a"/>
    <w:link w:val="a6"/>
    <w:uiPriority w:val="99"/>
    <w:unhideWhenUsed/>
    <w:rsid w:val="002A7B34"/>
    <w:pPr>
      <w:tabs>
        <w:tab w:val="center" w:pos="4153"/>
        <w:tab w:val="right" w:pos="8306"/>
      </w:tabs>
      <w:snapToGrid w:val="0"/>
    </w:pPr>
    <w:rPr>
      <w:sz w:val="18"/>
      <w:szCs w:val="18"/>
    </w:rPr>
  </w:style>
  <w:style w:type="character" w:customStyle="1" w:styleId="a6">
    <w:name w:val="页脚 字符"/>
    <w:basedOn w:val="a0"/>
    <w:link w:val="a5"/>
    <w:uiPriority w:val="99"/>
    <w:rsid w:val="002A7B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746">
      <w:marLeft w:val="0"/>
      <w:marRight w:val="720"/>
      <w:marTop w:val="10"/>
      <w:marBottom w:val="10"/>
      <w:divBdr>
        <w:top w:val="none" w:sz="0" w:space="0" w:color="auto"/>
        <w:left w:val="none" w:sz="0" w:space="0" w:color="auto"/>
        <w:bottom w:val="none" w:sz="0" w:space="0" w:color="auto"/>
        <w:right w:val="none" w:sz="0" w:space="0" w:color="auto"/>
      </w:divBdr>
    </w:div>
    <w:div w:id="83497066">
      <w:marLeft w:val="0"/>
      <w:marRight w:val="0"/>
      <w:marTop w:val="10"/>
      <w:marBottom w:val="10"/>
      <w:divBdr>
        <w:top w:val="none" w:sz="0" w:space="0" w:color="auto"/>
        <w:left w:val="none" w:sz="0" w:space="0" w:color="auto"/>
        <w:bottom w:val="none" w:sz="0" w:space="0" w:color="auto"/>
        <w:right w:val="none" w:sz="0" w:space="0" w:color="auto"/>
      </w:divBdr>
    </w:div>
    <w:div w:id="229734561">
      <w:marLeft w:val="0"/>
      <w:marRight w:val="0"/>
      <w:marTop w:val="10"/>
      <w:marBottom w:val="10"/>
      <w:divBdr>
        <w:top w:val="none" w:sz="0" w:space="0" w:color="auto"/>
        <w:left w:val="none" w:sz="0" w:space="0" w:color="auto"/>
        <w:bottom w:val="none" w:sz="0" w:space="0" w:color="auto"/>
        <w:right w:val="none" w:sz="0" w:space="0" w:color="auto"/>
      </w:divBdr>
    </w:div>
    <w:div w:id="306279163">
      <w:marLeft w:val="0"/>
      <w:marRight w:val="0"/>
      <w:marTop w:val="10"/>
      <w:marBottom w:val="10"/>
      <w:divBdr>
        <w:top w:val="none" w:sz="0" w:space="0" w:color="auto"/>
        <w:left w:val="none" w:sz="0" w:space="0" w:color="auto"/>
        <w:bottom w:val="none" w:sz="0" w:space="0" w:color="auto"/>
        <w:right w:val="none" w:sz="0" w:space="0" w:color="auto"/>
      </w:divBdr>
    </w:div>
    <w:div w:id="319501845">
      <w:marLeft w:val="0"/>
      <w:marRight w:val="0"/>
      <w:marTop w:val="10"/>
      <w:marBottom w:val="10"/>
      <w:divBdr>
        <w:top w:val="none" w:sz="0" w:space="0" w:color="auto"/>
        <w:left w:val="none" w:sz="0" w:space="0" w:color="auto"/>
        <w:bottom w:val="none" w:sz="0" w:space="0" w:color="auto"/>
        <w:right w:val="none" w:sz="0" w:space="0" w:color="auto"/>
      </w:divBdr>
    </w:div>
    <w:div w:id="681320503">
      <w:marLeft w:val="0"/>
      <w:marRight w:val="0"/>
      <w:marTop w:val="10"/>
      <w:marBottom w:val="10"/>
      <w:divBdr>
        <w:top w:val="none" w:sz="0" w:space="0" w:color="auto"/>
        <w:left w:val="none" w:sz="0" w:space="0" w:color="auto"/>
        <w:bottom w:val="none" w:sz="0" w:space="0" w:color="auto"/>
        <w:right w:val="none" w:sz="0" w:space="0" w:color="auto"/>
      </w:divBdr>
    </w:div>
    <w:div w:id="694429122">
      <w:marLeft w:val="0"/>
      <w:marRight w:val="720"/>
      <w:marTop w:val="10"/>
      <w:marBottom w:val="10"/>
      <w:divBdr>
        <w:top w:val="none" w:sz="0" w:space="0" w:color="auto"/>
        <w:left w:val="none" w:sz="0" w:space="0" w:color="auto"/>
        <w:bottom w:val="none" w:sz="0" w:space="0" w:color="auto"/>
        <w:right w:val="none" w:sz="0" w:space="0" w:color="auto"/>
      </w:divBdr>
    </w:div>
    <w:div w:id="698630296">
      <w:marLeft w:val="0"/>
      <w:marRight w:val="0"/>
      <w:marTop w:val="10"/>
      <w:marBottom w:val="10"/>
      <w:divBdr>
        <w:top w:val="none" w:sz="0" w:space="0" w:color="auto"/>
        <w:left w:val="none" w:sz="0" w:space="0" w:color="auto"/>
        <w:bottom w:val="none" w:sz="0" w:space="0" w:color="auto"/>
        <w:right w:val="none" w:sz="0" w:space="0" w:color="auto"/>
      </w:divBdr>
    </w:div>
    <w:div w:id="815024866">
      <w:marLeft w:val="0"/>
      <w:marRight w:val="0"/>
      <w:marTop w:val="10"/>
      <w:marBottom w:val="10"/>
      <w:divBdr>
        <w:top w:val="none" w:sz="0" w:space="0" w:color="auto"/>
        <w:left w:val="none" w:sz="0" w:space="0" w:color="auto"/>
        <w:bottom w:val="none" w:sz="0" w:space="0" w:color="auto"/>
        <w:right w:val="none" w:sz="0" w:space="0" w:color="auto"/>
      </w:divBdr>
    </w:div>
    <w:div w:id="911502163">
      <w:marLeft w:val="0"/>
      <w:marRight w:val="720"/>
      <w:marTop w:val="10"/>
      <w:marBottom w:val="10"/>
      <w:divBdr>
        <w:top w:val="none" w:sz="0" w:space="0" w:color="auto"/>
        <w:left w:val="none" w:sz="0" w:space="0" w:color="auto"/>
        <w:bottom w:val="none" w:sz="0" w:space="0" w:color="auto"/>
        <w:right w:val="none" w:sz="0" w:space="0" w:color="auto"/>
      </w:divBdr>
    </w:div>
    <w:div w:id="932129089">
      <w:marLeft w:val="0"/>
      <w:marRight w:val="0"/>
      <w:marTop w:val="10"/>
      <w:marBottom w:val="10"/>
      <w:divBdr>
        <w:top w:val="none" w:sz="0" w:space="0" w:color="auto"/>
        <w:left w:val="none" w:sz="0" w:space="0" w:color="auto"/>
        <w:bottom w:val="none" w:sz="0" w:space="0" w:color="auto"/>
        <w:right w:val="none" w:sz="0" w:space="0" w:color="auto"/>
      </w:divBdr>
    </w:div>
    <w:div w:id="934675530">
      <w:marLeft w:val="0"/>
      <w:marRight w:val="0"/>
      <w:marTop w:val="10"/>
      <w:marBottom w:val="10"/>
      <w:divBdr>
        <w:top w:val="none" w:sz="0" w:space="0" w:color="auto"/>
        <w:left w:val="none" w:sz="0" w:space="0" w:color="auto"/>
        <w:bottom w:val="none" w:sz="0" w:space="0" w:color="auto"/>
        <w:right w:val="none" w:sz="0" w:space="0" w:color="auto"/>
      </w:divBdr>
    </w:div>
    <w:div w:id="984430359">
      <w:marLeft w:val="0"/>
      <w:marRight w:val="0"/>
      <w:marTop w:val="10"/>
      <w:marBottom w:val="10"/>
      <w:divBdr>
        <w:top w:val="none" w:sz="0" w:space="0" w:color="auto"/>
        <w:left w:val="none" w:sz="0" w:space="0" w:color="auto"/>
        <w:bottom w:val="none" w:sz="0" w:space="0" w:color="auto"/>
        <w:right w:val="none" w:sz="0" w:space="0" w:color="auto"/>
      </w:divBdr>
    </w:div>
    <w:div w:id="1157694691">
      <w:marLeft w:val="0"/>
      <w:marRight w:val="0"/>
      <w:marTop w:val="10"/>
      <w:marBottom w:val="10"/>
      <w:divBdr>
        <w:top w:val="none" w:sz="0" w:space="0" w:color="auto"/>
        <w:left w:val="none" w:sz="0" w:space="0" w:color="auto"/>
        <w:bottom w:val="none" w:sz="0" w:space="0" w:color="auto"/>
        <w:right w:val="none" w:sz="0" w:space="0" w:color="auto"/>
      </w:divBdr>
    </w:div>
    <w:div w:id="1289966827">
      <w:marLeft w:val="0"/>
      <w:marRight w:val="0"/>
      <w:marTop w:val="10"/>
      <w:marBottom w:val="10"/>
      <w:divBdr>
        <w:top w:val="none" w:sz="0" w:space="0" w:color="auto"/>
        <w:left w:val="none" w:sz="0" w:space="0" w:color="auto"/>
        <w:bottom w:val="none" w:sz="0" w:space="0" w:color="auto"/>
        <w:right w:val="none" w:sz="0" w:space="0" w:color="auto"/>
      </w:divBdr>
    </w:div>
    <w:div w:id="1291327101">
      <w:marLeft w:val="0"/>
      <w:marRight w:val="0"/>
      <w:marTop w:val="10"/>
      <w:marBottom w:val="10"/>
      <w:divBdr>
        <w:top w:val="none" w:sz="0" w:space="0" w:color="auto"/>
        <w:left w:val="none" w:sz="0" w:space="0" w:color="auto"/>
        <w:bottom w:val="none" w:sz="0" w:space="0" w:color="auto"/>
        <w:right w:val="none" w:sz="0" w:space="0" w:color="auto"/>
      </w:divBdr>
    </w:div>
    <w:div w:id="1553345174">
      <w:marLeft w:val="0"/>
      <w:marRight w:val="0"/>
      <w:marTop w:val="10"/>
      <w:marBottom w:val="10"/>
      <w:divBdr>
        <w:top w:val="none" w:sz="0" w:space="0" w:color="auto"/>
        <w:left w:val="none" w:sz="0" w:space="0" w:color="auto"/>
        <w:bottom w:val="none" w:sz="0" w:space="0" w:color="auto"/>
        <w:right w:val="none" w:sz="0" w:space="0" w:color="auto"/>
      </w:divBdr>
    </w:div>
    <w:div w:id="1598055579">
      <w:marLeft w:val="0"/>
      <w:marRight w:val="0"/>
      <w:marTop w:val="10"/>
      <w:marBottom w:val="10"/>
      <w:divBdr>
        <w:top w:val="none" w:sz="0" w:space="0" w:color="auto"/>
        <w:left w:val="none" w:sz="0" w:space="0" w:color="auto"/>
        <w:bottom w:val="none" w:sz="0" w:space="0" w:color="auto"/>
        <w:right w:val="none" w:sz="0" w:space="0" w:color="auto"/>
      </w:divBdr>
    </w:div>
    <w:div w:id="1616445445">
      <w:marLeft w:val="0"/>
      <w:marRight w:val="720"/>
      <w:marTop w:val="10"/>
      <w:marBottom w:val="10"/>
      <w:divBdr>
        <w:top w:val="none" w:sz="0" w:space="0" w:color="auto"/>
        <w:left w:val="none" w:sz="0" w:space="0" w:color="auto"/>
        <w:bottom w:val="none" w:sz="0" w:space="0" w:color="auto"/>
        <w:right w:val="none" w:sz="0" w:space="0" w:color="auto"/>
      </w:divBdr>
    </w:div>
    <w:div w:id="1938633361">
      <w:marLeft w:val="0"/>
      <w:marRight w:val="0"/>
      <w:marTop w:val="10"/>
      <w:marBottom w:val="10"/>
      <w:divBdr>
        <w:top w:val="none" w:sz="0" w:space="0" w:color="auto"/>
        <w:left w:val="none" w:sz="0" w:space="0" w:color="auto"/>
        <w:bottom w:val="none" w:sz="0" w:space="0" w:color="auto"/>
        <w:right w:val="none" w:sz="0" w:space="0" w:color="auto"/>
      </w:divBdr>
    </w:div>
    <w:div w:id="2032487614">
      <w:marLeft w:val="0"/>
      <w:marRight w:val="0"/>
      <w:marTop w:val="10"/>
      <w:marBottom w:val="10"/>
      <w:divBdr>
        <w:top w:val="none" w:sz="0" w:space="0" w:color="auto"/>
        <w:left w:val="none" w:sz="0" w:space="0" w:color="auto"/>
        <w:bottom w:val="none" w:sz="0" w:space="0" w:color="auto"/>
        <w:right w:val="none" w:sz="0" w:space="0" w:color="auto"/>
      </w:divBdr>
    </w:div>
    <w:div w:id="2035111334">
      <w:marLeft w:val="0"/>
      <w:marRight w:val="720"/>
      <w:marTop w:val="10"/>
      <w:marBottom w:val="10"/>
      <w:divBdr>
        <w:top w:val="none" w:sz="0" w:space="0" w:color="auto"/>
        <w:left w:val="none" w:sz="0" w:space="0" w:color="auto"/>
        <w:bottom w:val="none" w:sz="0" w:space="0" w:color="auto"/>
        <w:right w:val="none" w:sz="0" w:space="0" w:color="auto"/>
      </w:divBdr>
    </w:div>
    <w:div w:id="20760092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