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E6D53">
      <w:pPr>
        <w:spacing w:line="500" w:lineRule="atLeast"/>
        <w:jc w:val="center"/>
        <w:divId w:val="2082944204"/>
        <w:rPr>
          <w:rFonts w:ascii="黑体" w:eastAsia="黑体" w:hAnsi="黑体"/>
          <w:sz w:val="36"/>
          <w:szCs w:val="36"/>
        </w:rPr>
      </w:pPr>
      <w:bookmarkStart w:id="0" w:name="_GoBack"/>
      <w:bookmarkEnd w:id="0"/>
      <w:r>
        <w:rPr>
          <w:rFonts w:ascii="黑体" w:eastAsia="黑体" w:hAnsi="黑体" w:hint="eastAsia"/>
          <w:sz w:val="36"/>
          <w:szCs w:val="36"/>
        </w:rPr>
        <w:t>江西省高级人民法院</w:t>
      </w:r>
    </w:p>
    <w:p w:rsidR="00000000" w:rsidRDefault="003E6D53">
      <w:pPr>
        <w:spacing w:line="500" w:lineRule="atLeast"/>
        <w:jc w:val="center"/>
        <w:divId w:val="12551702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E6D53">
      <w:pPr>
        <w:spacing w:line="500" w:lineRule="atLeast"/>
        <w:jc w:val="right"/>
        <w:divId w:val="346643923"/>
        <w:rPr>
          <w:rFonts w:hint="eastAsia"/>
          <w:sz w:val="30"/>
          <w:szCs w:val="30"/>
        </w:rPr>
      </w:pPr>
      <w:r>
        <w:rPr>
          <w:rFonts w:hint="eastAsia"/>
          <w:sz w:val="30"/>
          <w:szCs w:val="30"/>
        </w:rPr>
        <w:t>（</w:t>
      </w:r>
      <w:r>
        <w:rPr>
          <w:rFonts w:hint="eastAsia"/>
          <w:sz w:val="30"/>
          <w:szCs w:val="30"/>
        </w:rPr>
        <w:t>2020</w:t>
      </w:r>
      <w:r>
        <w:rPr>
          <w:rFonts w:hint="eastAsia"/>
          <w:sz w:val="30"/>
          <w:szCs w:val="30"/>
        </w:rPr>
        <w:t>）赣民申</w:t>
      </w:r>
      <w:r>
        <w:rPr>
          <w:rFonts w:hint="eastAsia"/>
          <w:sz w:val="30"/>
          <w:szCs w:val="30"/>
        </w:rPr>
        <w:t>377</w:t>
      </w:r>
      <w:r>
        <w:rPr>
          <w:rFonts w:hint="eastAsia"/>
          <w:sz w:val="30"/>
          <w:szCs w:val="30"/>
        </w:rPr>
        <w:t>号</w:t>
      </w:r>
    </w:p>
    <w:p w:rsidR="00000000" w:rsidRDefault="003E6D53">
      <w:pPr>
        <w:spacing w:line="500" w:lineRule="atLeast"/>
        <w:ind w:firstLine="600"/>
        <w:divId w:val="2033531481"/>
        <w:rPr>
          <w:rFonts w:hint="eastAsia"/>
          <w:sz w:val="30"/>
          <w:szCs w:val="30"/>
        </w:rPr>
      </w:pPr>
      <w:r>
        <w:rPr>
          <w:rFonts w:hint="eastAsia"/>
          <w:sz w:val="30"/>
          <w:szCs w:val="30"/>
        </w:rPr>
        <w:t>申请人（一审被告、二审上诉人）：上饶平安医院，住所地江西省上饶市信州区凤凰路</w:t>
      </w:r>
      <w:r>
        <w:rPr>
          <w:rFonts w:hint="eastAsia"/>
          <w:sz w:val="30"/>
          <w:szCs w:val="30"/>
        </w:rPr>
        <w:t>3</w:t>
      </w:r>
      <w:r>
        <w:rPr>
          <w:rFonts w:hint="eastAsia"/>
          <w:sz w:val="30"/>
          <w:szCs w:val="30"/>
        </w:rPr>
        <w:t>号。</w:t>
      </w:r>
    </w:p>
    <w:p w:rsidR="00000000" w:rsidRDefault="003E6D53">
      <w:pPr>
        <w:spacing w:line="500" w:lineRule="atLeast"/>
        <w:ind w:firstLine="600"/>
        <w:divId w:val="2005358229"/>
        <w:rPr>
          <w:rFonts w:hint="eastAsia"/>
          <w:sz w:val="30"/>
          <w:szCs w:val="30"/>
        </w:rPr>
      </w:pPr>
      <w:r>
        <w:rPr>
          <w:rFonts w:hint="eastAsia"/>
          <w:sz w:val="30"/>
          <w:szCs w:val="30"/>
        </w:rPr>
        <w:t>法定代表人：邵自强，该医院院长。</w:t>
      </w:r>
    </w:p>
    <w:p w:rsidR="00000000" w:rsidRDefault="003E6D53">
      <w:pPr>
        <w:spacing w:line="500" w:lineRule="atLeast"/>
        <w:ind w:firstLine="600"/>
        <w:divId w:val="1003976158"/>
        <w:rPr>
          <w:rFonts w:hint="eastAsia"/>
          <w:sz w:val="30"/>
          <w:szCs w:val="30"/>
        </w:rPr>
      </w:pPr>
      <w:r>
        <w:rPr>
          <w:rFonts w:hint="eastAsia"/>
          <w:sz w:val="30"/>
          <w:szCs w:val="30"/>
        </w:rPr>
        <w:t>委托诉讼代理人：杨志刚，江西策源律师事务所律师。</w:t>
      </w:r>
    </w:p>
    <w:p w:rsidR="00000000" w:rsidRDefault="003E6D53">
      <w:pPr>
        <w:spacing w:line="500" w:lineRule="atLeast"/>
        <w:ind w:firstLine="600"/>
        <w:divId w:val="2025087837"/>
        <w:rPr>
          <w:rFonts w:hint="eastAsia"/>
          <w:sz w:val="30"/>
          <w:szCs w:val="30"/>
        </w:rPr>
      </w:pPr>
      <w:r>
        <w:rPr>
          <w:rFonts w:hint="eastAsia"/>
          <w:sz w:val="30"/>
          <w:szCs w:val="30"/>
        </w:rPr>
        <w:t>委托诉讼代理人：吴兴杨，江西策源律师事务所律师。</w:t>
      </w:r>
    </w:p>
    <w:p w:rsidR="00000000" w:rsidRDefault="003E6D53">
      <w:pPr>
        <w:spacing w:line="500" w:lineRule="atLeast"/>
        <w:ind w:firstLine="600"/>
        <w:divId w:val="449738063"/>
        <w:rPr>
          <w:rFonts w:hint="eastAsia"/>
          <w:sz w:val="30"/>
          <w:szCs w:val="30"/>
        </w:rPr>
      </w:pPr>
      <w:r>
        <w:rPr>
          <w:rFonts w:hint="eastAsia"/>
          <w:sz w:val="30"/>
          <w:szCs w:val="30"/>
        </w:rPr>
        <w:t>被申请人（一审原告、二审上诉人）：陈某某，男，</w:t>
      </w:r>
      <w:r>
        <w:rPr>
          <w:rFonts w:hint="eastAsia"/>
          <w:sz w:val="30"/>
          <w:szCs w:val="30"/>
        </w:rPr>
        <w:t>2008</w:t>
      </w:r>
      <w:r>
        <w:rPr>
          <w:rFonts w:hint="eastAsia"/>
          <w:sz w:val="30"/>
          <w:szCs w:val="30"/>
        </w:rPr>
        <w:t>年出生，汉族，江西省鄱阳县人，住江西省鄱阳县。</w:t>
      </w:r>
    </w:p>
    <w:p w:rsidR="00000000" w:rsidRDefault="003E6D53">
      <w:pPr>
        <w:spacing w:line="500" w:lineRule="atLeast"/>
        <w:ind w:firstLine="600"/>
        <w:divId w:val="20279906"/>
        <w:rPr>
          <w:rFonts w:hint="eastAsia"/>
          <w:sz w:val="30"/>
          <w:szCs w:val="30"/>
        </w:rPr>
      </w:pPr>
      <w:r>
        <w:rPr>
          <w:rFonts w:hint="eastAsia"/>
          <w:sz w:val="30"/>
          <w:szCs w:val="30"/>
        </w:rPr>
        <w:t>法定代理人：陈传波，男，</w:t>
      </w:r>
      <w:r>
        <w:rPr>
          <w:rFonts w:hint="eastAsia"/>
          <w:sz w:val="30"/>
          <w:szCs w:val="30"/>
        </w:rPr>
        <w:t>1980</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日出生，汉族，江西省鄱阳县人，住江西省鄱阳县，系陈某某父亲。</w:t>
      </w:r>
    </w:p>
    <w:p w:rsidR="00000000" w:rsidRDefault="003E6D53">
      <w:pPr>
        <w:spacing w:line="500" w:lineRule="atLeast"/>
        <w:ind w:firstLine="600"/>
        <w:divId w:val="1395618940"/>
        <w:rPr>
          <w:rFonts w:hint="eastAsia"/>
          <w:sz w:val="30"/>
          <w:szCs w:val="30"/>
        </w:rPr>
      </w:pPr>
      <w:r>
        <w:rPr>
          <w:rFonts w:hint="eastAsia"/>
          <w:sz w:val="30"/>
          <w:szCs w:val="30"/>
        </w:rPr>
        <w:t>被申请人（一审被告、二审被上诉人）：鄱阳平安医院，住所地江西省鄱阳县饶埠镇饶埠集镇。</w:t>
      </w:r>
    </w:p>
    <w:p w:rsidR="00000000" w:rsidRDefault="003E6D53">
      <w:pPr>
        <w:spacing w:line="500" w:lineRule="atLeast"/>
        <w:ind w:firstLine="600"/>
        <w:divId w:val="1496333939"/>
        <w:rPr>
          <w:rFonts w:hint="eastAsia"/>
          <w:sz w:val="30"/>
          <w:szCs w:val="30"/>
        </w:rPr>
      </w:pPr>
      <w:r>
        <w:rPr>
          <w:rFonts w:hint="eastAsia"/>
          <w:sz w:val="30"/>
          <w:szCs w:val="30"/>
        </w:rPr>
        <w:t>法定代表人：邵登峰，该医院院长。</w:t>
      </w:r>
    </w:p>
    <w:p w:rsidR="00000000" w:rsidRDefault="003E6D53">
      <w:pPr>
        <w:spacing w:line="500" w:lineRule="atLeast"/>
        <w:ind w:firstLine="600"/>
        <w:divId w:val="1855683738"/>
        <w:rPr>
          <w:rFonts w:hint="eastAsia"/>
          <w:sz w:val="30"/>
          <w:szCs w:val="30"/>
        </w:rPr>
      </w:pPr>
      <w:r>
        <w:rPr>
          <w:rFonts w:hint="eastAsia"/>
          <w:sz w:val="30"/>
          <w:szCs w:val="30"/>
        </w:rPr>
        <w:t>被申请人</w:t>
      </w:r>
      <w:r>
        <w:rPr>
          <w:rFonts w:hint="eastAsia"/>
          <w:sz w:val="30"/>
          <w:szCs w:val="30"/>
        </w:rPr>
        <w:t>(</w:t>
      </w:r>
      <w:r>
        <w:rPr>
          <w:rFonts w:hint="eastAsia"/>
          <w:sz w:val="30"/>
          <w:szCs w:val="30"/>
        </w:rPr>
        <w:t>一审被告、二审被上诉人</w:t>
      </w:r>
      <w:r>
        <w:rPr>
          <w:rFonts w:hint="eastAsia"/>
          <w:sz w:val="30"/>
          <w:szCs w:val="30"/>
        </w:rPr>
        <w:t>):</w:t>
      </w:r>
      <w:r>
        <w:rPr>
          <w:rFonts w:hint="eastAsia"/>
          <w:sz w:val="30"/>
          <w:szCs w:val="30"/>
        </w:rPr>
        <w:t>鄱阳县饶埠镇卫生院，住所地江西省鄱阳县饶埠镇饶埠集镇。</w:t>
      </w:r>
    </w:p>
    <w:p w:rsidR="00000000" w:rsidRDefault="003E6D53">
      <w:pPr>
        <w:spacing w:line="500" w:lineRule="atLeast"/>
        <w:ind w:firstLine="600"/>
        <w:divId w:val="1001129884"/>
        <w:rPr>
          <w:rFonts w:hint="eastAsia"/>
          <w:sz w:val="30"/>
          <w:szCs w:val="30"/>
        </w:rPr>
      </w:pPr>
      <w:r>
        <w:rPr>
          <w:rFonts w:hint="eastAsia"/>
          <w:sz w:val="30"/>
          <w:szCs w:val="30"/>
        </w:rPr>
        <w:t>法定代表人：吴体华，该卫生院院长。</w:t>
      </w:r>
    </w:p>
    <w:p w:rsidR="00000000" w:rsidRDefault="003E6D53">
      <w:pPr>
        <w:spacing w:line="500" w:lineRule="atLeast"/>
        <w:ind w:firstLine="600"/>
        <w:divId w:val="2123844501"/>
        <w:rPr>
          <w:rFonts w:hint="eastAsia"/>
          <w:sz w:val="30"/>
          <w:szCs w:val="30"/>
        </w:rPr>
      </w:pPr>
      <w:r>
        <w:rPr>
          <w:rFonts w:hint="eastAsia"/>
          <w:sz w:val="30"/>
          <w:szCs w:val="30"/>
        </w:rPr>
        <w:t>被申请人</w:t>
      </w:r>
      <w:r>
        <w:rPr>
          <w:rFonts w:hint="eastAsia"/>
          <w:sz w:val="30"/>
          <w:szCs w:val="30"/>
        </w:rPr>
        <w:t>(</w:t>
      </w:r>
      <w:r>
        <w:rPr>
          <w:rFonts w:hint="eastAsia"/>
          <w:sz w:val="30"/>
          <w:szCs w:val="30"/>
        </w:rPr>
        <w:t>一审被告、二审被上诉人</w:t>
      </w:r>
      <w:r>
        <w:rPr>
          <w:rFonts w:hint="eastAsia"/>
          <w:sz w:val="30"/>
          <w:szCs w:val="30"/>
        </w:rPr>
        <w:t>):</w:t>
      </w:r>
      <w:r>
        <w:rPr>
          <w:rFonts w:hint="eastAsia"/>
          <w:sz w:val="30"/>
          <w:szCs w:val="30"/>
        </w:rPr>
        <w:t>鄱阳县卫生健康委员会，住所地江西省鄱阳县鄱阳镇人民北路疾控中心内。</w:t>
      </w:r>
    </w:p>
    <w:p w:rsidR="00000000" w:rsidRDefault="003E6D53">
      <w:pPr>
        <w:spacing w:line="500" w:lineRule="atLeast"/>
        <w:ind w:firstLine="600"/>
        <w:divId w:val="900481125"/>
        <w:rPr>
          <w:rFonts w:hint="eastAsia"/>
          <w:sz w:val="30"/>
          <w:szCs w:val="30"/>
        </w:rPr>
      </w:pPr>
      <w:r>
        <w:rPr>
          <w:rFonts w:hint="eastAsia"/>
          <w:sz w:val="30"/>
          <w:szCs w:val="30"/>
        </w:rPr>
        <w:t>法定代表人：陈炳金，该委员会主任。</w:t>
      </w:r>
    </w:p>
    <w:p w:rsidR="00000000" w:rsidRDefault="003E6D53">
      <w:pPr>
        <w:spacing w:line="500" w:lineRule="atLeast"/>
        <w:ind w:firstLine="600"/>
        <w:divId w:val="1987583280"/>
        <w:rPr>
          <w:rFonts w:hint="eastAsia"/>
          <w:sz w:val="30"/>
          <w:szCs w:val="30"/>
        </w:rPr>
      </w:pPr>
      <w:r>
        <w:rPr>
          <w:rFonts w:hint="eastAsia"/>
          <w:sz w:val="30"/>
          <w:szCs w:val="30"/>
        </w:rPr>
        <w:t>再审申请人上饶平安医院因与被申请人陈某某、鄱阳平安医院、鄱阳县饶埠镇卫生院、鄱阳县卫生健康委员会医疗损害赔偿一案，不服江西省</w:t>
      </w:r>
      <w:r>
        <w:rPr>
          <w:rFonts w:hint="eastAsia"/>
          <w:sz w:val="30"/>
          <w:szCs w:val="30"/>
        </w:rPr>
        <w:t>上饶市中级人民法院（</w:t>
      </w:r>
      <w:r>
        <w:rPr>
          <w:rFonts w:hint="eastAsia"/>
          <w:sz w:val="30"/>
          <w:szCs w:val="30"/>
        </w:rPr>
        <w:t>2019</w:t>
      </w:r>
      <w:r>
        <w:rPr>
          <w:rFonts w:hint="eastAsia"/>
          <w:sz w:val="30"/>
          <w:szCs w:val="30"/>
        </w:rPr>
        <w:t>）赣</w:t>
      </w:r>
      <w:r>
        <w:rPr>
          <w:rFonts w:hint="eastAsia"/>
          <w:sz w:val="30"/>
          <w:szCs w:val="30"/>
        </w:rPr>
        <w:t>11</w:t>
      </w:r>
      <w:r>
        <w:rPr>
          <w:rFonts w:hint="eastAsia"/>
          <w:sz w:val="30"/>
          <w:szCs w:val="30"/>
        </w:rPr>
        <w:t>民终</w:t>
      </w:r>
      <w:r>
        <w:rPr>
          <w:rFonts w:hint="eastAsia"/>
          <w:sz w:val="30"/>
          <w:szCs w:val="30"/>
        </w:rPr>
        <w:t>1519</w:t>
      </w:r>
      <w:r>
        <w:rPr>
          <w:rFonts w:hint="eastAsia"/>
          <w:sz w:val="30"/>
          <w:szCs w:val="30"/>
        </w:rPr>
        <w:t>号民事判决，向本院申请再审。本院依法组成合议庭进行了审查，现已审查终结。</w:t>
      </w:r>
    </w:p>
    <w:p w:rsidR="00000000" w:rsidRDefault="003E6D53">
      <w:pPr>
        <w:spacing w:line="500" w:lineRule="atLeast"/>
        <w:ind w:firstLine="600"/>
        <w:divId w:val="1010836825"/>
        <w:rPr>
          <w:rFonts w:hint="eastAsia"/>
          <w:sz w:val="30"/>
          <w:szCs w:val="30"/>
        </w:rPr>
      </w:pPr>
      <w:r>
        <w:rPr>
          <w:rFonts w:hint="eastAsia"/>
          <w:sz w:val="30"/>
          <w:szCs w:val="30"/>
        </w:rPr>
        <w:t>上饶平安医院申请再审称：</w:t>
      </w:r>
    </w:p>
    <w:p w:rsidR="00000000" w:rsidRDefault="003E6D53">
      <w:pPr>
        <w:spacing w:line="500" w:lineRule="atLeast"/>
        <w:ind w:firstLine="600"/>
        <w:divId w:val="1658151021"/>
        <w:rPr>
          <w:rFonts w:hint="eastAsia"/>
          <w:sz w:val="30"/>
          <w:szCs w:val="30"/>
        </w:rPr>
      </w:pPr>
      <w:r>
        <w:rPr>
          <w:rFonts w:hint="eastAsia"/>
          <w:sz w:val="30"/>
          <w:szCs w:val="30"/>
        </w:rPr>
        <w:lastRenderedPageBreak/>
        <w:t>（一）申请人不是本案适格被告，不应该承担对被申请人陈某某的赔偿责任。原审法院判决要求申请人承担医疗损害赔偿责任，属于适用法律错误。本案原审法院认定的基本事实是：</w:t>
      </w:r>
      <w:r>
        <w:rPr>
          <w:rFonts w:hint="eastAsia"/>
          <w:sz w:val="30"/>
          <w:szCs w:val="30"/>
        </w:rPr>
        <w:t>2009</w:t>
      </w:r>
      <w:r>
        <w:rPr>
          <w:rFonts w:hint="eastAsia"/>
          <w:sz w:val="30"/>
          <w:szCs w:val="30"/>
        </w:rPr>
        <w:t>年，被申请人陈某某到上饶平安医院受托管理的鄱阳县饶埠卫生院接种疫苗，发生医疗事故，并造成被陈某某人身损害的后果。如以上事实系客观真实，则按照《侵权责任法》和《民法总则》、《民法通则》的规定，应该承</w:t>
      </w:r>
      <w:r>
        <w:rPr>
          <w:rFonts w:hint="eastAsia"/>
          <w:sz w:val="30"/>
          <w:szCs w:val="30"/>
        </w:rPr>
        <w:t>担医疗损害赔偿责任的主体应该是鄱阳县饶埠卫生院，而非上饶平安医院。本案原审法院在确认责任时认为“饶埠卫生院的实际经营主体为上饶平安医院，故上饶平安医院应承担赔偿责任”，显然属于事实认定不清，适用法律错误。上饶平安医院与鄱阳县卫生局、饶埠卫生院的系委托代理关系。根据《民法总则》第一百六十二条规定：“代理人在代理权限内，以被代理人的名义实施民事法律行为。被代理人对代理人的代理行为，承担民事责任。”因此，在委托代理的法律关系中，代理人不直接对外承担责任，对外承担责任的主体仍然是被代理人。</w:t>
      </w:r>
    </w:p>
    <w:p w:rsidR="00000000" w:rsidRDefault="003E6D53">
      <w:pPr>
        <w:spacing w:line="500" w:lineRule="atLeast"/>
        <w:ind w:firstLine="600"/>
        <w:divId w:val="1670987540"/>
        <w:rPr>
          <w:rFonts w:hint="eastAsia"/>
          <w:sz w:val="30"/>
          <w:szCs w:val="30"/>
        </w:rPr>
      </w:pPr>
      <w:r>
        <w:rPr>
          <w:rFonts w:hint="eastAsia"/>
          <w:sz w:val="30"/>
          <w:szCs w:val="30"/>
        </w:rPr>
        <w:t>（二）原审法院认定被申请</w:t>
      </w:r>
      <w:r>
        <w:rPr>
          <w:rFonts w:hint="eastAsia"/>
          <w:sz w:val="30"/>
          <w:szCs w:val="30"/>
        </w:rPr>
        <w:t>人陈某某在饶埠卫生院接种疫苗导致人身损害缺乏证据证明。被申请人陈某某所提供的证据仅能证明其于</w:t>
      </w:r>
      <w:r>
        <w:rPr>
          <w:rFonts w:hint="eastAsia"/>
          <w:sz w:val="30"/>
          <w:szCs w:val="30"/>
        </w:rPr>
        <w:t>2009</w:t>
      </w:r>
      <w:r>
        <w:rPr>
          <w:rFonts w:hint="eastAsia"/>
          <w:sz w:val="30"/>
          <w:szCs w:val="30"/>
        </w:rPr>
        <w:t>年和</w:t>
      </w:r>
      <w:r>
        <w:rPr>
          <w:rFonts w:hint="eastAsia"/>
          <w:sz w:val="30"/>
          <w:szCs w:val="30"/>
        </w:rPr>
        <w:t>2014</w:t>
      </w:r>
      <w:r>
        <w:rPr>
          <w:rFonts w:hint="eastAsia"/>
          <w:sz w:val="30"/>
          <w:szCs w:val="30"/>
        </w:rPr>
        <w:t>年在饶埠卫生院接种了白破疫苗，但其并未证明接种疫苗本身导致其受到了损害。从医疗因果关系而言，其即使在</w:t>
      </w:r>
      <w:r>
        <w:rPr>
          <w:rFonts w:hint="eastAsia"/>
          <w:sz w:val="30"/>
          <w:szCs w:val="30"/>
        </w:rPr>
        <w:t>2009</w:t>
      </w:r>
      <w:r>
        <w:rPr>
          <w:rFonts w:hint="eastAsia"/>
          <w:sz w:val="30"/>
          <w:szCs w:val="30"/>
        </w:rPr>
        <w:t>年接种了白破疫苗，一般也不会产生被申请人所陈述的和江西省饶州司法鉴定中心所鉴定的损害结果。被申请人目前的身体状况不排除系其自身身体的原因所导致，比如先天的身体原因或者后天的其他疾病。同时，被申请人也未提供任何证据证明接种白破疫苗会导致双眼视神经萎缩、中度智力缺损的后果。</w:t>
      </w:r>
    </w:p>
    <w:p w:rsidR="00000000" w:rsidRDefault="003E6D53">
      <w:pPr>
        <w:spacing w:line="500" w:lineRule="atLeast"/>
        <w:ind w:firstLine="600"/>
        <w:divId w:val="2073504793"/>
        <w:rPr>
          <w:rFonts w:hint="eastAsia"/>
          <w:sz w:val="30"/>
          <w:szCs w:val="30"/>
        </w:rPr>
      </w:pPr>
      <w:r>
        <w:rPr>
          <w:rFonts w:hint="eastAsia"/>
          <w:sz w:val="30"/>
          <w:szCs w:val="30"/>
        </w:rPr>
        <w:lastRenderedPageBreak/>
        <w:t>（三）原审法院判决未</w:t>
      </w:r>
      <w:r>
        <w:rPr>
          <w:rFonts w:hint="eastAsia"/>
          <w:sz w:val="30"/>
          <w:szCs w:val="30"/>
        </w:rPr>
        <w:t>论证“</w:t>
      </w:r>
      <w:r>
        <w:rPr>
          <w:rFonts w:hint="eastAsia"/>
          <w:sz w:val="30"/>
          <w:szCs w:val="30"/>
        </w:rPr>
        <w:t>2014</w:t>
      </w:r>
      <w:r>
        <w:rPr>
          <w:rFonts w:hint="eastAsia"/>
          <w:sz w:val="30"/>
          <w:szCs w:val="30"/>
        </w:rPr>
        <w:t>年被申请人再次接种白破疫苗是否会导致被申请人加重损害程度或者造成新的损害”这一重要事实，导致原判决事实认定不清。从被申请人陈某某陈述的事实看，被申请人陈某某系</w:t>
      </w:r>
      <w:r>
        <w:rPr>
          <w:rFonts w:hint="eastAsia"/>
          <w:sz w:val="30"/>
          <w:szCs w:val="30"/>
        </w:rPr>
        <w:t>2014</w:t>
      </w:r>
      <w:r>
        <w:rPr>
          <w:rFonts w:hint="eastAsia"/>
          <w:sz w:val="30"/>
          <w:szCs w:val="30"/>
        </w:rPr>
        <w:t>年发现视力下降，并于</w:t>
      </w:r>
      <w:r>
        <w:rPr>
          <w:rFonts w:hint="eastAsia"/>
          <w:sz w:val="30"/>
          <w:szCs w:val="30"/>
        </w:rPr>
        <w:t>2016</w:t>
      </w:r>
      <w:r>
        <w:rPr>
          <w:rFonts w:hint="eastAsia"/>
          <w:sz w:val="30"/>
          <w:szCs w:val="30"/>
        </w:rPr>
        <w:t>年确诊为双眼视神经萎缩、中度智力残缺，在</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月进行伤残鉴定。但在这之前，陈某某不但在</w:t>
      </w:r>
      <w:r>
        <w:rPr>
          <w:rFonts w:hint="eastAsia"/>
          <w:sz w:val="30"/>
          <w:szCs w:val="30"/>
        </w:rPr>
        <w:t>2009</w:t>
      </w:r>
      <w:r>
        <w:rPr>
          <w:rFonts w:hint="eastAsia"/>
          <w:sz w:val="30"/>
          <w:szCs w:val="30"/>
        </w:rPr>
        <w:t>年接种过一次白破疫苗的情况下，而且在</w:t>
      </w:r>
      <w:r>
        <w:rPr>
          <w:rFonts w:hint="eastAsia"/>
          <w:sz w:val="30"/>
          <w:szCs w:val="30"/>
        </w:rPr>
        <w:t>2014</w:t>
      </w:r>
      <w:r>
        <w:rPr>
          <w:rFonts w:hint="eastAsia"/>
          <w:sz w:val="30"/>
          <w:szCs w:val="30"/>
        </w:rPr>
        <w:t>年又接种了一次白破疫苗。而根据医学知识，如果一个人接种两次以上白破疫苗，则很有可能造成各种不良反应。</w:t>
      </w:r>
    </w:p>
    <w:p w:rsidR="00000000" w:rsidRDefault="003E6D53">
      <w:pPr>
        <w:spacing w:line="500" w:lineRule="atLeast"/>
        <w:ind w:firstLine="600"/>
        <w:divId w:val="1650788767"/>
        <w:rPr>
          <w:rFonts w:hint="eastAsia"/>
          <w:sz w:val="30"/>
          <w:szCs w:val="30"/>
        </w:rPr>
      </w:pPr>
      <w:r>
        <w:rPr>
          <w:rFonts w:hint="eastAsia"/>
          <w:sz w:val="30"/>
          <w:szCs w:val="30"/>
        </w:rPr>
        <w:t>上饶平安医院依据《中华人民共和国民事诉讼法》第二百条第二</w:t>
      </w:r>
      <w:r>
        <w:rPr>
          <w:rFonts w:hint="eastAsia"/>
          <w:sz w:val="30"/>
          <w:szCs w:val="30"/>
        </w:rPr>
        <w:t>项、第六项规定申请再审。</w:t>
      </w:r>
    </w:p>
    <w:p w:rsidR="00000000" w:rsidRDefault="003E6D53">
      <w:pPr>
        <w:spacing w:line="500" w:lineRule="atLeast"/>
        <w:ind w:firstLine="600"/>
        <w:divId w:val="849636856"/>
        <w:rPr>
          <w:rFonts w:hint="eastAsia"/>
          <w:sz w:val="30"/>
          <w:szCs w:val="30"/>
        </w:rPr>
      </w:pPr>
      <w:r>
        <w:rPr>
          <w:rFonts w:hint="eastAsia"/>
          <w:sz w:val="30"/>
          <w:szCs w:val="30"/>
        </w:rPr>
        <w:t>被申请人未作答辩。</w:t>
      </w:r>
    </w:p>
    <w:p w:rsidR="00000000" w:rsidRDefault="003E6D53">
      <w:pPr>
        <w:spacing w:line="500" w:lineRule="atLeast"/>
        <w:ind w:firstLine="600"/>
        <w:divId w:val="2030789310"/>
        <w:rPr>
          <w:rFonts w:hint="eastAsia"/>
          <w:sz w:val="30"/>
          <w:szCs w:val="30"/>
        </w:rPr>
      </w:pPr>
      <w:r>
        <w:rPr>
          <w:rFonts w:hint="eastAsia"/>
          <w:sz w:val="30"/>
          <w:szCs w:val="30"/>
        </w:rPr>
        <w:t>本院经审查认为，本案再审审查的争议焦点为：（一）上饶平安医院是否须承担损害赔偿责任。（二）被申请人陈某某的人身损害与接种疫苗是否具有因果关系。（三）</w:t>
      </w:r>
      <w:r>
        <w:rPr>
          <w:rFonts w:hint="eastAsia"/>
          <w:sz w:val="30"/>
          <w:szCs w:val="30"/>
        </w:rPr>
        <w:t>2014</w:t>
      </w:r>
      <w:r>
        <w:rPr>
          <w:rFonts w:hint="eastAsia"/>
          <w:sz w:val="30"/>
          <w:szCs w:val="30"/>
        </w:rPr>
        <w:t>年陈某某再次接种白破疫苗是否会导致其加重损害或造成新的损害。</w:t>
      </w:r>
    </w:p>
    <w:p w:rsidR="00000000" w:rsidRDefault="003E6D53">
      <w:pPr>
        <w:spacing w:line="500" w:lineRule="atLeast"/>
        <w:ind w:firstLine="600"/>
        <w:divId w:val="1029448702"/>
        <w:rPr>
          <w:rFonts w:hint="eastAsia"/>
          <w:sz w:val="30"/>
          <w:szCs w:val="30"/>
        </w:rPr>
      </w:pPr>
      <w:r>
        <w:rPr>
          <w:rFonts w:hint="eastAsia"/>
          <w:sz w:val="30"/>
          <w:szCs w:val="30"/>
        </w:rPr>
        <w:t>（一）关于上饶平安医院是否须承担损害赔偿责任。</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日，上饶平安医院与原鄱阳县卫生局（现鄱阳县卫生健康委员会）签订协议，协议中明确约定：“</w:t>
      </w:r>
      <w:r>
        <w:rPr>
          <w:rFonts w:hint="eastAsia"/>
          <w:sz w:val="30"/>
          <w:szCs w:val="30"/>
        </w:rPr>
        <w:t>1</w:t>
      </w:r>
      <w:r>
        <w:rPr>
          <w:rFonts w:hint="eastAsia"/>
          <w:sz w:val="30"/>
          <w:szCs w:val="30"/>
        </w:rPr>
        <w:t>、改制卫生院：饶埠卫生院，改制后的名称不变；</w:t>
      </w:r>
      <w:r>
        <w:rPr>
          <w:rFonts w:hint="eastAsia"/>
          <w:sz w:val="30"/>
          <w:szCs w:val="30"/>
        </w:rPr>
        <w:t>2</w:t>
      </w:r>
      <w:r>
        <w:rPr>
          <w:rFonts w:hint="eastAsia"/>
          <w:sz w:val="30"/>
          <w:szCs w:val="30"/>
        </w:rPr>
        <w:t>、改制形式：租赁（国有民营，改制后饶埠卫生院所有权</w:t>
      </w:r>
      <w:r>
        <w:rPr>
          <w:rFonts w:hint="eastAsia"/>
          <w:sz w:val="30"/>
          <w:szCs w:val="30"/>
        </w:rPr>
        <w:t>仍归甲方，管理权、经营权归乙方）”。</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陈某某到饶埠卫生院接种疫苗并住院治疗，但此时，上饶平安医院已是实际经营管理者。作为实际经营管理者，上饶平安医院本应对其医疗行为实施有效监督管理，但由于医务人员操作不当，提前给陈某某注射白破疫苗以致其受到人身伤害，作为医疗机构的上饶平安医院理应承担赔偿责任；虽然名义上对陈某某实施医疗行为的是饶埠卫生院，但根据双方于</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日达成的协议约定，饶埠卫生院并非改制期间的经营管理者，不是医疗损害责任赔偿的主体。故原审法院判令上饶平安医院承担损害赔偿责任</w:t>
      </w:r>
      <w:r>
        <w:rPr>
          <w:rFonts w:hint="eastAsia"/>
          <w:sz w:val="30"/>
          <w:szCs w:val="30"/>
        </w:rPr>
        <w:t>并无不当。</w:t>
      </w:r>
    </w:p>
    <w:p w:rsidR="00000000" w:rsidRDefault="003E6D53">
      <w:pPr>
        <w:spacing w:line="500" w:lineRule="atLeast"/>
        <w:ind w:firstLine="600"/>
        <w:divId w:val="1508015687"/>
        <w:rPr>
          <w:rFonts w:hint="eastAsia"/>
          <w:sz w:val="30"/>
          <w:szCs w:val="30"/>
        </w:rPr>
      </w:pPr>
      <w:r>
        <w:rPr>
          <w:rFonts w:hint="eastAsia"/>
          <w:sz w:val="30"/>
          <w:szCs w:val="30"/>
        </w:rPr>
        <w:t>（二）被申请人陈某某的人身损害与提前接种疫苗行为是否具有因果关系。原审过程中，陈某某向原审法院提交了就医疗行为与损害结果之间有无因果关系等司法鉴定申请，却因院方一直未提供陈某某接种白破疫苗后高热住院病历材料，导致该鉴定申请无法受理。原审法院根据《医疗机构病历管理办法》及《医疗事故处理条例》规定医疗机构负有保存病历材料义务，医疗机构应承担就其无法提供病历材料导致鉴定无法进行而产生的法律后果，推定医疗机构的医疗行为与陈某某损害事实具有因果关系。原审法院的推定于法有据，并无不当。</w:t>
      </w:r>
    </w:p>
    <w:p w:rsidR="00000000" w:rsidRDefault="003E6D53">
      <w:pPr>
        <w:spacing w:line="500" w:lineRule="atLeast"/>
        <w:ind w:firstLine="600"/>
        <w:divId w:val="128595654"/>
        <w:rPr>
          <w:rFonts w:hint="eastAsia"/>
          <w:sz w:val="30"/>
          <w:szCs w:val="30"/>
        </w:rPr>
      </w:pPr>
      <w:r>
        <w:rPr>
          <w:rFonts w:hint="eastAsia"/>
          <w:sz w:val="30"/>
          <w:szCs w:val="30"/>
        </w:rPr>
        <w:t>（三）关于</w:t>
      </w:r>
      <w:r>
        <w:rPr>
          <w:rFonts w:hint="eastAsia"/>
          <w:sz w:val="30"/>
          <w:szCs w:val="30"/>
        </w:rPr>
        <w:t>2014</w:t>
      </w:r>
      <w:r>
        <w:rPr>
          <w:rFonts w:hint="eastAsia"/>
          <w:sz w:val="30"/>
          <w:szCs w:val="30"/>
        </w:rPr>
        <w:t>年</w:t>
      </w:r>
      <w:r>
        <w:rPr>
          <w:rFonts w:hint="eastAsia"/>
          <w:sz w:val="30"/>
          <w:szCs w:val="30"/>
        </w:rPr>
        <w:t>陈某某再次接种白破疫苗是否会导致其加重损害或造成新的损害。第一，陈某某一审起诉称：“</w:t>
      </w:r>
      <w:r>
        <w:rPr>
          <w:rFonts w:hint="eastAsia"/>
          <w:sz w:val="30"/>
          <w:szCs w:val="30"/>
        </w:rPr>
        <w:t>2013</w:t>
      </w:r>
      <w:r>
        <w:rPr>
          <w:rFonts w:hint="eastAsia"/>
          <w:sz w:val="30"/>
          <w:szCs w:val="30"/>
        </w:rPr>
        <w:t>年原告</w:t>
      </w:r>
      <w:r>
        <w:rPr>
          <w:rFonts w:hint="eastAsia"/>
          <w:sz w:val="30"/>
          <w:szCs w:val="30"/>
        </w:rPr>
        <w:t>5</w:t>
      </w:r>
      <w:r>
        <w:rPr>
          <w:rFonts w:hint="eastAsia"/>
          <w:sz w:val="30"/>
          <w:szCs w:val="30"/>
        </w:rPr>
        <w:t>岁时上学前班，经常跌倒，单腿独立不能超过</w:t>
      </w:r>
      <w:r>
        <w:rPr>
          <w:rFonts w:hint="eastAsia"/>
          <w:sz w:val="30"/>
          <w:szCs w:val="30"/>
        </w:rPr>
        <w:t>5</w:t>
      </w:r>
      <w:r>
        <w:rPr>
          <w:rFonts w:hint="eastAsia"/>
          <w:sz w:val="30"/>
          <w:szCs w:val="30"/>
        </w:rPr>
        <w:t>秒钟”。</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10</w:t>
      </w:r>
      <w:r>
        <w:rPr>
          <w:rFonts w:hint="eastAsia"/>
          <w:sz w:val="30"/>
          <w:szCs w:val="30"/>
        </w:rPr>
        <w:t>日，即仅在再次接种白破疫苗四个月后，陈某某至温州医科大学附属眼视光医院就诊，家长自诉“患儿自小视物不清”。从上述叙述中可知，陈某某的主要人身损害后果至迟在</w:t>
      </w:r>
      <w:r>
        <w:rPr>
          <w:rFonts w:hint="eastAsia"/>
          <w:sz w:val="30"/>
          <w:szCs w:val="30"/>
        </w:rPr>
        <w:t>2013</w:t>
      </w:r>
      <w:r>
        <w:rPr>
          <w:rFonts w:hint="eastAsia"/>
          <w:sz w:val="30"/>
          <w:szCs w:val="30"/>
        </w:rPr>
        <w:t>年时已显现，而</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8</w:t>
      </w:r>
      <w:r>
        <w:rPr>
          <w:rFonts w:hint="eastAsia"/>
          <w:sz w:val="30"/>
          <w:szCs w:val="30"/>
        </w:rPr>
        <w:t>日陈某某才再次接种白破疫苗。因此，从时间逻辑关系看，申请人关于再次接种白破疫苗加重损害或造成新的损害的主张不成立。第二，申请人基于“医学常识”，认为</w:t>
      </w:r>
      <w:r>
        <w:rPr>
          <w:rFonts w:hint="eastAsia"/>
          <w:sz w:val="30"/>
          <w:szCs w:val="30"/>
        </w:rPr>
        <w:t>2</w:t>
      </w:r>
      <w:r>
        <w:rPr>
          <w:rFonts w:hint="eastAsia"/>
          <w:sz w:val="30"/>
          <w:szCs w:val="30"/>
        </w:rPr>
        <w:t>014</w:t>
      </w:r>
      <w:r>
        <w:rPr>
          <w:rFonts w:hint="eastAsia"/>
          <w:sz w:val="30"/>
          <w:szCs w:val="30"/>
        </w:rPr>
        <w:t>年陈某某再次接种白破疫苗导致其加重损害或造成新的损害，却未提供相应证据，且按照《最高人民法院关于民事诉讼证据的若干规定》第十条的规定，“医学常识”并不属于当事人无须举证证明的范围</w:t>
      </w:r>
      <w:r>
        <w:rPr>
          <w:rFonts w:hint="eastAsia"/>
          <w:sz w:val="30"/>
          <w:szCs w:val="30"/>
        </w:rPr>
        <w:t>,</w:t>
      </w:r>
      <w:r>
        <w:rPr>
          <w:rFonts w:hint="eastAsia"/>
          <w:sz w:val="30"/>
          <w:szCs w:val="30"/>
        </w:rPr>
        <w:t>故须承担举证不能的不利后果。</w:t>
      </w:r>
    </w:p>
    <w:p w:rsidR="00000000" w:rsidRDefault="003E6D53">
      <w:pPr>
        <w:spacing w:line="500" w:lineRule="atLeast"/>
        <w:ind w:firstLine="600"/>
        <w:divId w:val="1637031513"/>
        <w:rPr>
          <w:rFonts w:hint="eastAsia"/>
          <w:sz w:val="30"/>
          <w:szCs w:val="30"/>
        </w:rPr>
      </w:pPr>
      <w:r>
        <w:rPr>
          <w:rFonts w:hint="eastAsia"/>
          <w:sz w:val="30"/>
          <w:szCs w:val="30"/>
        </w:rPr>
        <w:t>综上，上饶平安医院的再审申请不符合《中华人民共和国民事诉讼法》第二百条第二项、第六项规定的情形。依照《中华人民共和国民事诉讼法》第二百零四条第一款，《最高人民法院关于适</w:t>
      </w:r>
      <w:r>
        <w:rPr>
          <w:rFonts w:hint="eastAsia"/>
          <w:sz w:val="30"/>
          <w:szCs w:val="30"/>
        </w:rPr>
        <w:t>用</w:t>
      </w:r>
      <w:r>
        <w:rPr>
          <w:rFonts w:hint="eastAsia"/>
          <w:sz w:val="30"/>
          <w:szCs w:val="30"/>
        </w:rPr>
        <w:t>的解释》第三百九十五条第二款之规定，裁定如下：</w:t>
      </w:r>
    </w:p>
    <w:p w:rsidR="00000000" w:rsidRDefault="003E6D53">
      <w:pPr>
        <w:spacing w:line="500" w:lineRule="atLeast"/>
        <w:ind w:firstLine="600"/>
        <w:divId w:val="1128860048"/>
        <w:rPr>
          <w:rFonts w:hint="eastAsia"/>
          <w:sz w:val="30"/>
          <w:szCs w:val="30"/>
        </w:rPr>
      </w:pPr>
      <w:r>
        <w:rPr>
          <w:rFonts w:hint="eastAsia"/>
          <w:sz w:val="30"/>
          <w:szCs w:val="30"/>
        </w:rPr>
        <w:t>驳回上饶平安医院的再审申请。</w:t>
      </w:r>
    </w:p>
    <w:p w:rsidR="00000000" w:rsidRDefault="003E6D53">
      <w:pPr>
        <w:spacing w:line="500" w:lineRule="atLeast"/>
        <w:jc w:val="right"/>
        <w:divId w:val="1617250543"/>
        <w:rPr>
          <w:rFonts w:hint="eastAsia"/>
          <w:sz w:val="30"/>
          <w:szCs w:val="30"/>
        </w:rPr>
      </w:pPr>
      <w:r>
        <w:rPr>
          <w:rFonts w:hint="eastAsia"/>
          <w:sz w:val="30"/>
          <w:szCs w:val="30"/>
        </w:rPr>
        <w:t>审判长　　田甘霖</w:t>
      </w:r>
    </w:p>
    <w:p w:rsidR="00000000" w:rsidRDefault="003E6D53">
      <w:pPr>
        <w:spacing w:line="500" w:lineRule="atLeast"/>
        <w:jc w:val="right"/>
        <w:divId w:val="386683230"/>
        <w:rPr>
          <w:rFonts w:hint="eastAsia"/>
          <w:sz w:val="30"/>
          <w:szCs w:val="30"/>
        </w:rPr>
      </w:pPr>
      <w:r>
        <w:rPr>
          <w:rFonts w:hint="eastAsia"/>
          <w:sz w:val="30"/>
          <w:szCs w:val="30"/>
        </w:rPr>
        <w:t>审判员　　邓名兴</w:t>
      </w:r>
    </w:p>
    <w:p w:rsidR="00000000" w:rsidRDefault="003E6D53">
      <w:pPr>
        <w:spacing w:line="500" w:lineRule="atLeast"/>
        <w:jc w:val="right"/>
        <w:divId w:val="703991111"/>
        <w:rPr>
          <w:rFonts w:hint="eastAsia"/>
          <w:sz w:val="30"/>
          <w:szCs w:val="30"/>
        </w:rPr>
      </w:pPr>
      <w:r>
        <w:rPr>
          <w:rFonts w:hint="eastAsia"/>
          <w:sz w:val="30"/>
          <w:szCs w:val="30"/>
        </w:rPr>
        <w:t>审判员　　江都颖</w:t>
      </w:r>
    </w:p>
    <w:p w:rsidR="00000000" w:rsidRDefault="003E6D53">
      <w:pPr>
        <w:spacing w:line="500" w:lineRule="atLeast"/>
        <w:jc w:val="right"/>
        <w:divId w:val="1439639447"/>
        <w:rPr>
          <w:rFonts w:hint="eastAsia"/>
          <w:sz w:val="30"/>
          <w:szCs w:val="30"/>
        </w:rPr>
      </w:pPr>
      <w:r>
        <w:rPr>
          <w:rFonts w:hint="eastAsia"/>
          <w:sz w:val="30"/>
          <w:szCs w:val="30"/>
        </w:rPr>
        <w:t>二〇二〇年五月十四日</w:t>
      </w:r>
    </w:p>
    <w:p w:rsidR="00000000" w:rsidRDefault="003E6D53">
      <w:pPr>
        <w:spacing w:line="500" w:lineRule="atLeast"/>
        <w:ind w:firstLine="600"/>
        <w:divId w:val="1636376942"/>
        <w:rPr>
          <w:rFonts w:hint="eastAsia"/>
          <w:sz w:val="30"/>
          <w:szCs w:val="30"/>
        </w:rPr>
      </w:pPr>
      <w:r>
        <w:rPr>
          <w:rFonts w:hint="eastAsia"/>
          <w:sz w:val="30"/>
          <w:szCs w:val="30"/>
        </w:rPr>
        <w:t>法官助理张伟</w:t>
      </w:r>
    </w:p>
    <w:p w:rsidR="00000000" w:rsidRDefault="003E6D53">
      <w:pPr>
        <w:spacing w:line="500" w:lineRule="atLeast"/>
        <w:ind w:firstLine="600"/>
        <w:divId w:val="354774436"/>
        <w:rPr>
          <w:rFonts w:hint="eastAsia"/>
          <w:sz w:val="30"/>
          <w:szCs w:val="30"/>
        </w:rPr>
      </w:pPr>
      <w:r>
        <w:rPr>
          <w:rFonts w:hint="eastAsia"/>
          <w:sz w:val="30"/>
          <w:szCs w:val="30"/>
        </w:rPr>
        <w:t>书记员袁芳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D53" w:rsidRDefault="003E6D53" w:rsidP="003E6D53">
      <w:r>
        <w:separator/>
      </w:r>
    </w:p>
  </w:endnote>
  <w:endnote w:type="continuationSeparator" w:id="0">
    <w:p w:rsidR="003E6D53" w:rsidRDefault="003E6D53" w:rsidP="003E6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D53" w:rsidRDefault="003E6D53" w:rsidP="003E6D53">
      <w:r>
        <w:separator/>
      </w:r>
    </w:p>
  </w:footnote>
  <w:footnote w:type="continuationSeparator" w:id="0">
    <w:p w:rsidR="003E6D53" w:rsidRDefault="003E6D53" w:rsidP="003E6D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E6D53"/>
    <w:rsid w:val="003E6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E6D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6D53"/>
    <w:rPr>
      <w:rFonts w:ascii="宋体" w:eastAsia="宋体" w:hAnsi="宋体" w:cs="宋体"/>
      <w:sz w:val="18"/>
      <w:szCs w:val="18"/>
    </w:rPr>
  </w:style>
  <w:style w:type="paragraph" w:styleId="a5">
    <w:name w:val="footer"/>
    <w:basedOn w:val="a"/>
    <w:link w:val="a6"/>
    <w:uiPriority w:val="99"/>
    <w:unhideWhenUsed/>
    <w:rsid w:val="003E6D53"/>
    <w:pPr>
      <w:tabs>
        <w:tab w:val="center" w:pos="4153"/>
        <w:tab w:val="right" w:pos="8306"/>
      </w:tabs>
      <w:snapToGrid w:val="0"/>
    </w:pPr>
    <w:rPr>
      <w:sz w:val="18"/>
      <w:szCs w:val="18"/>
    </w:rPr>
  </w:style>
  <w:style w:type="character" w:customStyle="1" w:styleId="a6">
    <w:name w:val="页脚 字符"/>
    <w:basedOn w:val="a0"/>
    <w:link w:val="a5"/>
    <w:uiPriority w:val="99"/>
    <w:rsid w:val="003E6D5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9906">
      <w:marLeft w:val="0"/>
      <w:marRight w:val="0"/>
      <w:marTop w:val="10"/>
      <w:marBottom w:val="10"/>
      <w:divBdr>
        <w:top w:val="none" w:sz="0" w:space="0" w:color="auto"/>
        <w:left w:val="none" w:sz="0" w:space="0" w:color="auto"/>
        <w:bottom w:val="none" w:sz="0" w:space="0" w:color="auto"/>
        <w:right w:val="none" w:sz="0" w:space="0" w:color="auto"/>
      </w:divBdr>
    </w:div>
    <w:div w:id="125517028">
      <w:marLeft w:val="0"/>
      <w:marRight w:val="0"/>
      <w:marTop w:val="10"/>
      <w:marBottom w:val="10"/>
      <w:divBdr>
        <w:top w:val="none" w:sz="0" w:space="0" w:color="auto"/>
        <w:left w:val="none" w:sz="0" w:space="0" w:color="auto"/>
        <w:bottom w:val="none" w:sz="0" w:space="0" w:color="auto"/>
        <w:right w:val="none" w:sz="0" w:space="0" w:color="auto"/>
      </w:divBdr>
    </w:div>
    <w:div w:id="128595654">
      <w:marLeft w:val="0"/>
      <w:marRight w:val="0"/>
      <w:marTop w:val="10"/>
      <w:marBottom w:val="10"/>
      <w:divBdr>
        <w:top w:val="none" w:sz="0" w:space="0" w:color="auto"/>
        <w:left w:val="none" w:sz="0" w:space="0" w:color="auto"/>
        <w:bottom w:val="none" w:sz="0" w:space="0" w:color="auto"/>
        <w:right w:val="none" w:sz="0" w:space="0" w:color="auto"/>
      </w:divBdr>
    </w:div>
    <w:div w:id="346643923">
      <w:marLeft w:val="0"/>
      <w:marRight w:val="0"/>
      <w:marTop w:val="10"/>
      <w:marBottom w:val="10"/>
      <w:divBdr>
        <w:top w:val="none" w:sz="0" w:space="0" w:color="auto"/>
        <w:left w:val="none" w:sz="0" w:space="0" w:color="auto"/>
        <w:bottom w:val="none" w:sz="0" w:space="0" w:color="auto"/>
        <w:right w:val="none" w:sz="0" w:space="0" w:color="auto"/>
      </w:divBdr>
    </w:div>
    <w:div w:id="354774436">
      <w:marLeft w:val="0"/>
      <w:marRight w:val="0"/>
      <w:marTop w:val="10"/>
      <w:marBottom w:val="10"/>
      <w:divBdr>
        <w:top w:val="none" w:sz="0" w:space="0" w:color="auto"/>
        <w:left w:val="none" w:sz="0" w:space="0" w:color="auto"/>
        <w:bottom w:val="none" w:sz="0" w:space="0" w:color="auto"/>
        <w:right w:val="none" w:sz="0" w:space="0" w:color="auto"/>
      </w:divBdr>
    </w:div>
    <w:div w:id="386683230">
      <w:marLeft w:val="0"/>
      <w:marRight w:val="720"/>
      <w:marTop w:val="10"/>
      <w:marBottom w:val="10"/>
      <w:divBdr>
        <w:top w:val="none" w:sz="0" w:space="0" w:color="auto"/>
        <w:left w:val="none" w:sz="0" w:space="0" w:color="auto"/>
        <w:bottom w:val="none" w:sz="0" w:space="0" w:color="auto"/>
        <w:right w:val="none" w:sz="0" w:space="0" w:color="auto"/>
      </w:divBdr>
    </w:div>
    <w:div w:id="449738063">
      <w:marLeft w:val="0"/>
      <w:marRight w:val="0"/>
      <w:marTop w:val="10"/>
      <w:marBottom w:val="10"/>
      <w:divBdr>
        <w:top w:val="none" w:sz="0" w:space="0" w:color="auto"/>
        <w:left w:val="none" w:sz="0" w:space="0" w:color="auto"/>
        <w:bottom w:val="none" w:sz="0" w:space="0" w:color="auto"/>
        <w:right w:val="none" w:sz="0" w:space="0" w:color="auto"/>
      </w:divBdr>
    </w:div>
    <w:div w:id="703991111">
      <w:marLeft w:val="0"/>
      <w:marRight w:val="720"/>
      <w:marTop w:val="10"/>
      <w:marBottom w:val="10"/>
      <w:divBdr>
        <w:top w:val="none" w:sz="0" w:space="0" w:color="auto"/>
        <w:left w:val="none" w:sz="0" w:space="0" w:color="auto"/>
        <w:bottom w:val="none" w:sz="0" w:space="0" w:color="auto"/>
        <w:right w:val="none" w:sz="0" w:space="0" w:color="auto"/>
      </w:divBdr>
    </w:div>
    <w:div w:id="849636856">
      <w:marLeft w:val="0"/>
      <w:marRight w:val="0"/>
      <w:marTop w:val="10"/>
      <w:marBottom w:val="10"/>
      <w:divBdr>
        <w:top w:val="none" w:sz="0" w:space="0" w:color="auto"/>
        <w:left w:val="none" w:sz="0" w:space="0" w:color="auto"/>
        <w:bottom w:val="none" w:sz="0" w:space="0" w:color="auto"/>
        <w:right w:val="none" w:sz="0" w:space="0" w:color="auto"/>
      </w:divBdr>
    </w:div>
    <w:div w:id="900481125">
      <w:marLeft w:val="0"/>
      <w:marRight w:val="0"/>
      <w:marTop w:val="10"/>
      <w:marBottom w:val="10"/>
      <w:divBdr>
        <w:top w:val="none" w:sz="0" w:space="0" w:color="auto"/>
        <w:left w:val="none" w:sz="0" w:space="0" w:color="auto"/>
        <w:bottom w:val="none" w:sz="0" w:space="0" w:color="auto"/>
        <w:right w:val="none" w:sz="0" w:space="0" w:color="auto"/>
      </w:divBdr>
    </w:div>
    <w:div w:id="1001129884">
      <w:marLeft w:val="0"/>
      <w:marRight w:val="0"/>
      <w:marTop w:val="10"/>
      <w:marBottom w:val="10"/>
      <w:divBdr>
        <w:top w:val="none" w:sz="0" w:space="0" w:color="auto"/>
        <w:left w:val="none" w:sz="0" w:space="0" w:color="auto"/>
        <w:bottom w:val="none" w:sz="0" w:space="0" w:color="auto"/>
        <w:right w:val="none" w:sz="0" w:space="0" w:color="auto"/>
      </w:divBdr>
    </w:div>
    <w:div w:id="1003976158">
      <w:marLeft w:val="0"/>
      <w:marRight w:val="0"/>
      <w:marTop w:val="10"/>
      <w:marBottom w:val="10"/>
      <w:divBdr>
        <w:top w:val="none" w:sz="0" w:space="0" w:color="auto"/>
        <w:left w:val="none" w:sz="0" w:space="0" w:color="auto"/>
        <w:bottom w:val="none" w:sz="0" w:space="0" w:color="auto"/>
        <w:right w:val="none" w:sz="0" w:space="0" w:color="auto"/>
      </w:divBdr>
    </w:div>
    <w:div w:id="1010836825">
      <w:marLeft w:val="0"/>
      <w:marRight w:val="0"/>
      <w:marTop w:val="10"/>
      <w:marBottom w:val="10"/>
      <w:divBdr>
        <w:top w:val="none" w:sz="0" w:space="0" w:color="auto"/>
        <w:left w:val="none" w:sz="0" w:space="0" w:color="auto"/>
        <w:bottom w:val="none" w:sz="0" w:space="0" w:color="auto"/>
        <w:right w:val="none" w:sz="0" w:space="0" w:color="auto"/>
      </w:divBdr>
    </w:div>
    <w:div w:id="1029448702">
      <w:marLeft w:val="0"/>
      <w:marRight w:val="0"/>
      <w:marTop w:val="10"/>
      <w:marBottom w:val="10"/>
      <w:divBdr>
        <w:top w:val="none" w:sz="0" w:space="0" w:color="auto"/>
        <w:left w:val="none" w:sz="0" w:space="0" w:color="auto"/>
        <w:bottom w:val="none" w:sz="0" w:space="0" w:color="auto"/>
        <w:right w:val="none" w:sz="0" w:space="0" w:color="auto"/>
      </w:divBdr>
    </w:div>
    <w:div w:id="1128860048">
      <w:marLeft w:val="0"/>
      <w:marRight w:val="0"/>
      <w:marTop w:val="10"/>
      <w:marBottom w:val="10"/>
      <w:divBdr>
        <w:top w:val="none" w:sz="0" w:space="0" w:color="auto"/>
        <w:left w:val="none" w:sz="0" w:space="0" w:color="auto"/>
        <w:bottom w:val="none" w:sz="0" w:space="0" w:color="auto"/>
        <w:right w:val="none" w:sz="0" w:space="0" w:color="auto"/>
      </w:divBdr>
    </w:div>
    <w:div w:id="1395618940">
      <w:marLeft w:val="0"/>
      <w:marRight w:val="0"/>
      <w:marTop w:val="10"/>
      <w:marBottom w:val="10"/>
      <w:divBdr>
        <w:top w:val="none" w:sz="0" w:space="0" w:color="auto"/>
        <w:left w:val="none" w:sz="0" w:space="0" w:color="auto"/>
        <w:bottom w:val="none" w:sz="0" w:space="0" w:color="auto"/>
        <w:right w:val="none" w:sz="0" w:space="0" w:color="auto"/>
      </w:divBdr>
    </w:div>
    <w:div w:id="1439639447">
      <w:marLeft w:val="0"/>
      <w:marRight w:val="720"/>
      <w:marTop w:val="10"/>
      <w:marBottom w:val="10"/>
      <w:divBdr>
        <w:top w:val="none" w:sz="0" w:space="0" w:color="auto"/>
        <w:left w:val="none" w:sz="0" w:space="0" w:color="auto"/>
        <w:bottom w:val="none" w:sz="0" w:space="0" w:color="auto"/>
        <w:right w:val="none" w:sz="0" w:space="0" w:color="auto"/>
      </w:divBdr>
    </w:div>
    <w:div w:id="1496333939">
      <w:marLeft w:val="0"/>
      <w:marRight w:val="0"/>
      <w:marTop w:val="10"/>
      <w:marBottom w:val="10"/>
      <w:divBdr>
        <w:top w:val="none" w:sz="0" w:space="0" w:color="auto"/>
        <w:left w:val="none" w:sz="0" w:space="0" w:color="auto"/>
        <w:bottom w:val="none" w:sz="0" w:space="0" w:color="auto"/>
        <w:right w:val="none" w:sz="0" w:space="0" w:color="auto"/>
      </w:divBdr>
    </w:div>
    <w:div w:id="1508015687">
      <w:marLeft w:val="0"/>
      <w:marRight w:val="0"/>
      <w:marTop w:val="10"/>
      <w:marBottom w:val="10"/>
      <w:divBdr>
        <w:top w:val="none" w:sz="0" w:space="0" w:color="auto"/>
        <w:left w:val="none" w:sz="0" w:space="0" w:color="auto"/>
        <w:bottom w:val="none" w:sz="0" w:space="0" w:color="auto"/>
        <w:right w:val="none" w:sz="0" w:space="0" w:color="auto"/>
      </w:divBdr>
    </w:div>
    <w:div w:id="1617250543">
      <w:marLeft w:val="0"/>
      <w:marRight w:val="720"/>
      <w:marTop w:val="10"/>
      <w:marBottom w:val="10"/>
      <w:divBdr>
        <w:top w:val="none" w:sz="0" w:space="0" w:color="auto"/>
        <w:left w:val="none" w:sz="0" w:space="0" w:color="auto"/>
        <w:bottom w:val="none" w:sz="0" w:space="0" w:color="auto"/>
        <w:right w:val="none" w:sz="0" w:space="0" w:color="auto"/>
      </w:divBdr>
    </w:div>
    <w:div w:id="1636376942">
      <w:marLeft w:val="0"/>
      <w:marRight w:val="0"/>
      <w:marTop w:val="10"/>
      <w:marBottom w:val="10"/>
      <w:divBdr>
        <w:top w:val="none" w:sz="0" w:space="0" w:color="auto"/>
        <w:left w:val="none" w:sz="0" w:space="0" w:color="auto"/>
        <w:bottom w:val="none" w:sz="0" w:space="0" w:color="auto"/>
        <w:right w:val="none" w:sz="0" w:space="0" w:color="auto"/>
      </w:divBdr>
    </w:div>
    <w:div w:id="1637031513">
      <w:marLeft w:val="0"/>
      <w:marRight w:val="0"/>
      <w:marTop w:val="10"/>
      <w:marBottom w:val="10"/>
      <w:divBdr>
        <w:top w:val="none" w:sz="0" w:space="0" w:color="auto"/>
        <w:left w:val="none" w:sz="0" w:space="0" w:color="auto"/>
        <w:bottom w:val="none" w:sz="0" w:space="0" w:color="auto"/>
        <w:right w:val="none" w:sz="0" w:space="0" w:color="auto"/>
      </w:divBdr>
    </w:div>
    <w:div w:id="1650788767">
      <w:marLeft w:val="0"/>
      <w:marRight w:val="0"/>
      <w:marTop w:val="10"/>
      <w:marBottom w:val="10"/>
      <w:divBdr>
        <w:top w:val="none" w:sz="0" w:space="0" w:color="auto"/>
        <w:left w:val="none" w:sz="0" w:space="0" w:color="auto"/>
        <w:bottom w:val="none" w:sz="0" w:space="0" w:color="auto"/>
        <w:right w:val="none" w:sz="0" w:space="0" w:color="auto"/>
      </w:divBdr>
    </w:div>
    <w:div w:id="1658151021">
      <w:marLeft w:val="0"/>
      <w:marRight w:val="0"/>
      <w:marTop w:val="10"/>
      <w:marBottom w:val="10"/>
      <w:divBdr>
        <w:top w:val="none" w:sz="0" w:space="0" w:color="auto"/>
        <w:left w:val="none" w:sz="0" w:space="0" w:color="auto"/>
        <w:bottom w:val="none" w:sz="0" w:space="0" w:color="auto"/>
        <w:right w:val="none" w:sz="0" w:space="0" w:color="auto"/>
      </w:divBdr>
    </w:div>
    <w:div w:id="1670987540">
      <w:marLeft w:val="0"/>
      <w:marRight w:val="0"/>
      <w:marTop w:val="10"/>
      <w:marBottom w:val="10"/>
      <w:divBdr>
        <w:top w:val="none" w:sz="0" w:space="0" w:color="auto"/>
        <w:left w:val="none" w:sz="0" w:space="0" w:color="auto"/>
        <w:bottom w:val="none" w:sz="0" w:space="0" w:color="auto"/>
        <w:right w:val="none" w:sz="0" w:space="0" w:color="auto"/>
      </w:divBdr>
    </w:div>
    <w:div w:id="1855683738">
      <w:marLeft w:val="0"/>
      <w:marRight w:val="0"/>
      <w:marTop w:val="10"/>
      <w:marBottom w:val="10"/>
      <w:divBdr>
        <w:top w:val="none" w:sz="0" w:space="0" w:color="auto"/>
        <w:left w:val="none" w:sz="0" w:space="0" w:color="auto"/>
        <w:bottom w:val="none" w:sz="0" w:space="0" w:color="auto"/>
        <w:right w:val="none" w:sz="0" w:space="0" w:color="auto"/>
      </w:divBdr>
    </w:div>
    <w:div w:id="1987583280">
      <w:marLeft w:val="0"/>
      <w:marRight w:val="0"/>
      <w:marTop w:val="10"/>
      <w:marBottom w:val="10"/>
      <w:divBdr>
        <w:top w:val="none" w:sz="0" w:space="0" w:color="auto"/>
        <w:left w:val="none" w:sz="0" w:space="0" w:color="auto"/>
        <w:bottom w:val="none" w:sz="0" w:space="0" w:color="auto"/>
        <w:right w:val="none" w:sz="0" w:space="0" w:color="auto"/>
      </w:divBdr>
    </w:div>
    <w:div w:id="2005358229">
      <w:marLeft w:val="0"/>
      <w:marRight w:val="0"/>
      <w:marTop w:val="10"/>
      <w:marBottom w:val="10"/>
      <w:divBdr>
        <w:top w:val="none" w:sz="0" w:space="0" w:color="auto"/>
        <w:left w:val="none" w:sz="0" w:space="0" w:color="auto"/>
        <w:bottom w:val="none" w:sz="0" w:space="0" w:color="auto"/>
        <w:right w:val="none" w:sz="0" w:space="0" w:color="auto"/>
      </w:divBdr>
    </w:div>
    <w:div w:id="2025087837">
      <w:marLeft w:val="0"/>
      <w:marRight w:val="0"/>
      <w:marTop w:val="10"/>
      <w:marBottom w:val="10"/>
      <w:divBdr>
        <w:top w:val="none" w:sz="0" w:space="0" w:color="auto"/>
        <w:left w:val="none" w:sz="0" w:space="0" w:color="auto"/>
        <w:bottom w:val="none" w:sz="0" w:space="0" w:color="auto"/>
        <w:right w:val="none" w:sz="0" w:space="0" w:color="auto"/>
      </w:divBdr>
    </w:div>
    <w:div w:id="2030789310">
      <w:marLeft w:val="0"/>
      <w:marRight w:val="0"/>
      <w:marTop w:val="10"/>
      <w:marBottom w:val="10"/>
      <w:divBdr>
        <w:top w:val="none" w:sz="0" w:space="0" w:color="auto"/>
        <w:left w:val="none" w:sz="0" w:space="0" w:color="auto"/>
        <w:bottom w:val="none" w:sz="0" w:space="0" w:color="auto"/>
        <w:right w:val="none" w:sz="0" w:space="0" w:color="auto"/>
      </w:divBdr>
    </w:div>
    <w:div w:id="2033531481">
      <w:marLeft w:val="0"/>
      <w:marRight w:val="0"/>
      <w:marTop w:val="10"/>
      <w:marBottom w:val="10"/>
      <w:divBdr>
        <w:top w:val="none" w:sz="0" w:space="0" w:color="auto"/>
        <w:left w:val="none" w:sz="0" w:space="0" w:color="auto"/>
        <w:bottom w:val="none" w:sz="0" w:space="0" w:color="auto"/>
        <w:right w:val="none" w:sz="0" w:space="0" w:color="auto"/>
      </w:divBdr>
    </w:div>
    <w:div w:id="2073504793">
      <w:marLeft w:val="0"/>
      <w:marRight w:val="0"/>
      <w:marTop w:val="10"/>
      <w:marBottom w:val="10"/>
      <w:divBdr>
        <w:top w:val="none" w:sz="0" w:space="0" w:color="auto"/>
        <w:left w:val="none" w:sz="0" w:space="0" w:color="auto"/>
        <w:bottom w:val="none" w:sz="0" w:space="0" w:color="auto"/>
        <w:right w:val="none" w:sz="0" w:space="0" w:color="auto"/>
      </w:divBdr>
    </w:div>
    <w:div w:id="2082944204">
      <w:marLeft w:val="0"/>
      <w:marRight w:val="0"/>
      <w:marTop w:val="10"/>
      <w:marBottom w:val="10"/>
      <w:divBdr>
        <w:top w:val="none" w:sz="0" w:space="0" w:color="auto"/>
        <w:left w:val="none" w:sz="0" w:space="0" w:color="auto"/>
        <w:bottom w:val="none" w:sz="0" w:space="0" w:color="auto"/>
        <w:right w:val="none" w:sz="0" w:space="0" w:color="auto"/>
      </w:divBdr>
    </w:div>
    <w:div w:id="212384450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