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95AB0">
      <w:pPr>
        <w:spacing w:line="500" w:lineRule="atLeast"/>
        <w:jc w:val="center"/>
        <w:divId w:val="128713464"/>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295AB0">
      <w:pPr>
        <w:spacing w:line="500" w:lineRule="atLeast"/>
        <w:jc w:val="center"/>
        <w:divId w:val="16163239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95AB0">
      <w:pPr>
        <w:spacing w:line="500" w:lineRule="atLeast"/>
        <w:jc w:val="right"/>
        <w:divId w:val="1536232346"/>
        <w:rPr>
          <w:rFonts w:hint="eastAsia"/>
          <w:sz w:val="30"/>
          <w:szCs w:val="30"/>
        </w:rPr>
      </w:pPr>
      <w:r>
        <w:rPr>
          <w:rFonts w:hint="eastAsia"/>
          <w:sz w:val="30"/>
          <w:szCs w:val="30"/>
        </w:rPr>
        <w:t>（</w:t>
      </w:r>
      <w:r>
        <w:rPr>
          <w:rFonts w:hint="eastAsia"/>
          <w:sz w:val="30"/>
          <w:szCs w:val="30"/>
        </w:rPr>
        <w:t>2021</w:t>
      </w:r>
      <w:r>
        <w:rPr>
          <w:rFonts w:hint="eastAsia"/>
          <w:sz w:val="30"/>
          <w:szCs w:val="30"/>
        </w:rPr>
        <w:t>）辽民申</w:t>
      </w:r>
      <w:r>
        <w:rPr>
          <w:rFonts w:hint="eastAsia"/>
          <w:sz w:val="30"/>
          <w:szCs w:val="30"/>
        </w:rPr>
        <w:t>2074</w:t>
      </w:r>
      <w:r>
        <w:rPr>
          <w:rFonts w:hint="eastAsia"/>
          <w:sz w:val="30"/>
          <w:szCs w:val="30"/>
        </w:rPr>
        <w:t>号</w:t>
      </w:r>
    </w:p>
    <w:p w:rsidR="00000000" w:rsidRDefault="00295AB0">
      <w:pPr>
        <w:spacing w:line="500" w:lineRule="atLeast"/>
        <w:ind w:firstLine="600"/>
        <w:divId w:val="349141000"/>
        <w:rPr>
          <w:rFonts w:hint="eastAsia"/>
          <w:sz w:val="30"/>
          <w:szCs w:val="30"/>
        </w:rPr>
      </w:pPr>
      <w:r>
        <w:rPr>
          <w:rFonts w:hint="eastAsia"/>
          <w:sz w:val="30"/>
          <w:szCs w:val="30"/>
        </w:rPr>
        <w:t>再审申请人（一审原告、二审上诉人）：高健，男，</w:t>
      </w:r>
      <w:r>
        <w:rPr>
          <w:rFonts w:hint="eastAsia"/>
          <w:sz w:val="30"/>
          <w:szCs w:val="30"/>
        </w:rPr>
        <w:t>1973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日出生，汉族，住辽宁省沈阳市和平区。</w:t>
      </w:r>
    </w:p>
    <w:p w:rsidR="00000000" w:rsidRDefault="00295AB0">
      <w:pPr>
        <w:spacing w:line="500" w:lineRule="atLeast"/>
        <w:ind w:firstLine="600"/>
        <w:divId w:val="1672366025"/>
        <w:rPr>
          <w:rFonts w:hint="eastAsia"/>
          <w:sz w:val="30"/>
          <w:szCs w:val="30"/>
        </w:rPr>
      </w:pPr>
      <w:r>
        <w:rPr>
          <w:rFonts w:hint="eastAsia"/>
          <w:sz w:val="30"/>
          <w:szCs w:val="30"/>
        </w:rPr>
        <w:t>被申请人（一审被告、二审上诉人）：中国医科大学附属盛京医院，住所地辽宁省沈阳市和平区三好街</w:t>
      </w:r>
      <w:r>
        <w:rPr>
          <w:rFonts w:hint="eastAsia"/>
          <w:sz w:val="30"/>
          <w:szCs w:val="30"/>
        </w:rPr>
        <w:t>36</w:t>
      </w:r>
      <w:r>
        <w:rPr>
          <w:rFonts w:hint="eastAsia"/>
          <w:sz w:val="30"/>
          <w:szCs w:val="30"/>
        </w:rPr>
        <w:t>号。</w:t>
      </w:r>
    </w:p>
    <w:p w:rsidR="00000000" w:rsidRDefault="00295AB0">
      <w:pPr>
        <w:spacing w:line="500" w:lineRule="atLeast"/>
        <w:ind w:firstLine="600"/>
        <w:divId w:val="127014548"/>
        <w:rPr>
          <w:rFonts w:hint="eastAsia"/>
          <w:sz w:val="30"/>
          <w:szCs w:val="30"/>
        </w:rPr>
      </w:pPr>
      <w:r>
        <w:rPr>
          <w:rFonts w:hint="eastAsia"/>
          <w:sz w:val="30"/>
          <w:szCs w:val="30"/>
        </w:rPr>
        <w:t>法定代表人：孙思予，该医院院长。</w:t>
      </w:r>
    </w:p>
    <w:p w:rsidR="00000000" w:rsidRDefault="00295AB0">
      <w:pPr>
        <w:spacing w:line="500" w:lineRule="atLeast"/>
        <w:ind w:firstLine="600"/>
        <w:divId w:val="1287196164"/>
        <w:rPr>
          <w:rFonts w:hint="eastAsia"/>
          <w:sz w:val="30"/>
          <w:szCs w:val="30"/>
        </w:rPr>
      </w:pPr>
      <w:r>
        <w:rPr>
          <w:rFonts w:hint="eastAsia"/>
          <w:sz w:val="30"/>
          <w:szCs w:val="30"/>
        </w:rPr>
        <w:t>再审申请人高健因与被申请人中国医科大学附属盛京医院（以下简称盛京医院）医疗损害责任纠纷一案，不服辽宁省沈阳市中级人民法院（</w:t>
      </w:r>
      <w:r>
        <w:rPr>
          <w:rFonts w:hint="eastAsia"/>
          <w:sz w:val="30"/>
          <w:szCs w:val="30"/>
        </w:rPr>
        <w:t>2020</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12730</w:t>
      </w:r>
      <w:r>
        <w:rPr>
          <w:rFonts w:hint="eastAsia"/>
          <w:sz w:val="30"/>
          <w:szCs w:val="30"/>
        </w:rPr>
        <w:t>号民事判决，向本院申请再审。本院依法组成合议庭进行了审查，现已审查终结。</w:t>
      </w:r>
    </w:p>
    <w:p w:rsidR="00000000" w:rsidRDefault="00295AB0">
      <w:pPr>
        <w:spacing w:line="500" w:lineRule="atLeast"/>
        <w:ind w:firstLine="600"/>
        <w:divId w:val="731317740"/>
        <w:rPr>
          <w:rFonts w:hint="eastAsia"/>
          <w:sz w:val="30"/>
          <w:szCs w:val="30"/>
        </w:rPr>
      </w:pPr>
      <w:r>
        <w:rPr>
          <w:rFonts w:hint="eastAsia"/>
          <w:sz w:val="30"/>
          <w:szCs w:val="30"/>
        </w:rPr>
        <w:t>高健申请再审称，两审认定事实不清，适用法律错误。一审存在的主要问题为：一是被申请人盛京医院私自篡改病历，致使司法鉴定结果错误。二是司法鉴定部门避重就轻，造成鉴定结果有出入。三是对</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日北京明正司法鉴定中心出具的京正司鉴字</w:t>
      </w:r>
      <w:r>
        <w:rPr>
          <w:rFonts w:hint="eastAsia"/>
          <w:sz w:val="30"/>
          <w:szCs w:val="30"/>
        </w:rPr>
        <w:t>214-1</w:t>
      </w:r>
      <w:r>
        <w:rPr>
          <w:rFonts w:hint="eastAsia"/>
          <w:sz w:val="30"/>
          <w:szCs w:val="30"/>
        </w:rPr>
        <w:t>号司法鉴定意见书有异议，申请人并未亲自去鉴</w:t>
      </w:r>
      <w:r>
        <w:rPr>
          <w:rFonts w:hint="eastAsia"/>
          <w:sz w:val="30"/>
          <w:szCs w:val="30"/>
        </w:rPr>
        <w:t>定，不应有鉴定意见书一说。四是判决交通费</w:t>
      </w:r>
      <w:r>
        <w:rPr>
          <w:rFonts w:hint="eastAsia"/>
          <w:sz w:val="30"/>
          <w:szCs w:val="30"/>
        </w:rPr>
        <w:t>2940.40</w:t>
      </w:r>
      <w:r>
        <w:rPr>
          <w:rFonts w:hint="eastAsia"/>
          <w:sz w:val="30"/>
          <w:szCs w:val="30"/>
        </w:rPr>
        <w:t>元和外地就医费用</w:t>
      </w:r>
      <w:r>
        <w:rPr>
          <w:rFonts w:hint="eastAsia"/>
          <w:sz w:val="30"/>
          <w:szCs w:val="30"/>
        </w:rPr>
        <w:t>10000</w:t>
      </w:r>
      <w:r>
        <w:rPr>
          <w:rFonts w:hint="eastAsia"/>
          <w:sz w:val="30"/>
          <w:szCs w:val="30"/>
        </w:rPr>
        <w:t>元明显过低，申请人实际花销为</w:t>
      </w:r>
      <w:r>
        <w:rPr>
          <w:rFonts w:hint="eastAsia"/>
          <w:sz w:val="30"/>
          <w:szCs w:val="30"/>
        </w:rPr>
        <w:t>96569</w:t>
      </w:r>
      <w:r>
        <w:rPr>
          <w:rFonts w:hint="eastAsia"/>
          <w:sz w:val="30"/>
          <w:szCs w:val="30"/>
        </w:rPr>
        <w:t>元。申请人不服上诉，但二审法院仍避重就轻，仅改变鉴定费用由被申请人全额承担（也印证了被申请人应当承担全部或主要责任），其余错误仍未纠正。其再审申请符合《中华人民共和国民事诉讼法》第二百条第二项、第六项规定的情形，请求再审本案，撤销二审判决，改判支持高健一审提出的全部诉求。</w:t>
      </w:r>
    </w:p>
    <w:p w:rsidR="00000000" w:rsidRDefault="00295AB0">
      <w:pPr>
        <w:spacing w:line="500" w:lineRule="atLeast"/>
        <w:ind w:firstLine="600"/>
        <w:divId w:val="967246827"/>
        <w:rPr>
          <w:rFonts w:hint="eastAsia"/>
          <w:sz w:val="30"/>
          <w:szCs w:val="30"/>
        </w:rPr>
      </w:pPr>
      <w:r>
        <w:rPr>
          <w:rFonts w:hint="eastAsia"/>
          <w:sz w:val="30"/>
          <w:szCs w:val="30"/>
        </w:rPr>
        <w:lastRenderedPageBreak/>
        <w:t>本院经审查认为，再审申请人高健所提原审认定事实及适用法律错误等理由，其在二审审理过程中均作为其上诉理由提出，关于高健所提</w:t>
      </w:r>
      <w:r>
        <w:rPr>
          <w:rFonts w:hint="eastAsia"/>
          <w:sz w:val="30"/>
          <w:szCs w:val="30"/>
        </w:rPr>
        <w:t>“盛京医院私自篡改病历，致使司法鉴定结果错误；高健并未亲自参加第二次鉴定，不应有京正司鉴字</w:t>
      </w:r>
      <w:r>
        <w:rPr>
          <w:rFonts w:hint="eastAsia"/>
          <w:sz w:val="30"/>
          <w:szCs w:val="30"/>
        </w:rPr>
        <w:t>214-1</w:t>
      </w:r>
      <w:r>
        <w:rPr>
          <w:rFonts w:hint="eastAsia"/>
          <w:sz w:val="30"/>
          <w:szCs w:val="30"/>
        </w:rPr>
        <w:t>号司法鉴定意见书”的问题，一审法院经对病历原件质证等程序后，对高健该主张不予支持，二审法院经审查，认定一审判决对于“私自篡改病历”问题作出的结论符合事实，且北京明正司法鉴定中心在回复中亦明确“补充鉴定事项为因果关系及原因力大小鉴定，听证会非必要程序”，说明高健未参加第二次鉴定，并不影响鉴定意见的正当性。涉诉鉴定单位北京明正司法鉴定中心系经双方当事人依合法程序选定，具备相应的鉴定资质，鉴定过程符合相关鉴定程序要</w:t>
      </w:r>
      <w:r>
        <w:rPr>
          <w:rFonts w:hint="eastAsia"/>
          <w:sz w:val="30"/>
          <w:szCs w:val="30"/>
        </w:rPr>
        <w:t>求，合法正当。一、二审法院对涉诉鉴定意见予以采信，并根据鉴定意见作出责任认定，认定事实及适用法律并无不当，裁判理由一、二审判决均已详细论述。关于高健所提原审对高健交通费、外地就医费用的判决过低问题，因高健提供有效交通费票据</w:t>
      </w:r>
      <w:r>
        <w:rPr>
          <w:rFonts w:hint="eastAsia"/>
          <w:sz w:val="30"/>
          <w:szCs w:val="30"/>
        </w:rPr>
        <w:t>7351</w:t>
      </w:r>
      <w:r>
        <w:rPr>
          <w:rFonts w:hint="eastAsia"/>
          <w:sz w:val="30"/>
          <w:szCs w:val="30"/>
        </w:rPr>
        <w:t>元，就外地就医费用仅提供部分票据，其他费用未提供相关证据，一审按照责任比例，判决盛京医院赔偿高健交通费</w:t>
      </w:r>
      <w:r>
        <w:rPr>
          <w:rFonts w:hint="eastAsia"/>
          <w:sz w:val="30"/>
          <w:szCs w:val="30"/>
        </w:rPr>
        <w:t>2940.40</w:t>
      </w:r>
      <w:r>
        <w:rPr>
          <w:rFonts w:hint="eastAsia"/>
          <w:sz w:val="30"/>
          <w:szCs w:val="30"/>
        </w:rPr>
        <w:t>元（</w:t>
      </w:r>
      <w:r>
        <w:rPr>
          <w:rFonts w:hint="eastAsia"/>
          <w:sz w:val="30"/>
          <w:szCs w:val="30"/>
        </w:rPr>
        <w:t>7351</w:t>
      </w:r>
      <w:r>
        <w:rPr>
          <w:rFonts w:hint="eastAsia"/>
          <w:sz w:val="30"/>
          <w:szCs w:val="30"/>
        </w:rPr>
        <w:t>元×</w:t>
      </w:r>
      <w:r>
        <w:rPr>
          <w:rFonts w:hint="eastAsia"/>
          <w:sz w:val="30"/>
          <w:szCs w:val="30"/>
        </w:rPr>
        <w:t>40%</w:t>
      </w:r>
      <w:r>
        <w:rPr>
          <w:rFonts w:hint="eastAsia"/>
          <w:sz w:val="30"/>
          <w:szCs w:val="30"/>
        </w:rPr>
        <w:t>），酌定赔偿高健外地就医费用</w:t>
      </w:r>
      <w:r>
        <w:rPr>
          <w:rFonts w:hint="eastAsia"/>
          <w:sz w:val="30"/>
          <w:szCs w:val="30"/>
        </w:rPr>
        <w:t>10000</w:t>
      </w:r>
      <w:r>
        <w:rPr>
          <w:rFonts w:hint="eastAsia"/>
          <w:sz w:val="30"/>
          <w:szCs w:val="30"/>
        </w:rPr>
        <w:t>元，二审对此予以维持，处理结果亦无不当。因本案涉及两次鉴定，即鉴定及补充鉴定，两次鉴定均确认本案医疗纠纷属</w:t>
      </w:r>
      <w:r>
        <w:rPr>
          <w:rFonts w:hint="eastAsia"/>
          <w:sz w:val="30"/>
          <w:szCs w:val="30"/>
        </w:rPr>
        <w:t>于医疗事故，参照《医疗事故处理条例》第三十四条规定“医疗事故技术鉴定，可以收取鉴定费用。经鉴定，属于医疗事故的，鉴定费用由医疗机构支付；不属于医疗事故的，鉴定费用由提出医疗事故处理申请的一方支付。……”的规定，二审改判两次鉴定费（</w:t>
      </w:r>
      <w:r>
        <w:rPr>
          <w:rFonts w:hint="eastAsia"/>
          <w:sz w:val="30"/>
          <w:szCs w:val="30"/>
        </w:rPr>
        <w:t>17000</w:t>
      </w:r>
      <w:r>
        <w:rPr>
          <w:rFonts w:hint="eastAsia"/>
          <w:sz w:val="30"/>
          <w:szCs w:val="30"/>
        </w:rPr>
        <w:t>元</w:t>
      </w:r>
      <w:r>
        <w:rPr>
          <w:rFonts w:hint="eastAsia"/>
          <w:sz w:val="30"/>
          <w:szCs w:val="30"/>
        </w:rPr>
        <w:t>+6000</w:t>
      </w:r>
      <w:r>
        <w:rPr>
          <w:rFonts w:hint="eastAsia"/>
          <w:sz w:val="30"/>
          <w:szCs w:val="30"/>
        </w:rPr>
        <w:t>元）均由盛京医院承担，高健以该节主张“改判鉴定费用由盛京医院承担印证了盛京医院应当承担全部</w:t>
      </w:r>
      <w:r>
        <w:rPr>
          <w:rFonts w:hint="eastAsia"/>
          <w:sz w:val="30"/>
          <w:szCs w:val="30"/>
        </w:rPr>
        <w:lastRenderedPageBreak/>
        <w:t>或主要责任”缺乏事实根据和法律依据。再审审查期间，高健未提供新的证据证明其主张，其申请再审理由不成立，本院不予支持。</w:t>
      </w:r>
    </w:p>
    <w:p w:rsidR="00000000" w:rsidRDefault="00295AB0">
      <w:pPr>
        <w:spacing w:line="500" w:lineRule="atLeast"/>
        <w:ind w:firstLine="600"/>
        <w:divId w:val="1166940521"/>
        <w:rPr>
          <w:rFonts w:hint="eastAsia"/>
          <w:sz w:val="30"/>
          <w:szCs w:val="30"/>
        </w:rPr>
      </w:pPr>
      <w:r>
        <w:rPr>
          <w:rFonts w:hint="eastAsia"/>
          <w:sz w:val="30"/>
          <w:szCs w:val="30"/>
        </w:rPr>
        <w:t>综上，高健的再审申请不属于《中华人民共和国民事诉讼法</w:t>
      </w:r>
      <w:r>
        <w:rPr>
          <w:rFonts w:hint="eastAsia"/>
          <w:sz w:val="30"/>
          <w:szCs w:val="30"/>
        </w:rPr>
        <w:t>》第二百条规定的再审事由。依照《中华人民共和国民事诉讼法》第二百零四条第一款，《最高人民法院关于适用〈中华人民共和国民事诉讼法〉的解释》第三百九十五条第二款规定，裁定如下：</w:t>
      </w:r>
    </w:p>
    <w:p w:rsidR="00000000" w:rsidRDefault="00295AB0">
      <w:pPr>
        <w:spacing w:line="500" w:lineRule="atLeast"/>
        <w:ind w:firstLine="600"/>
        <w:divId w:val="1736276243"/>
        <w:rPr>
          <w:rFonts w:hint="eastAsia"/>
          <w:sz w:val="30"/>
          <w:szCs w:val="30"/>
        </w:rPr>
      </w:pPr>
      <w:r>
        <w:rPr>
          <w:rFonts w:hint="eastAsia"/>
          <w:sz w:val="30"/>
          <w:szCs w:val="30"/>
        </w:rPr>
        <w:t>驳回高健的再审申请。</w:t>
      </w:r>
    </w:p>
    <w:p w:rsidR="00000000" w:rsidRDefault="00295AB0">
      <w:pPr>
        <w:spacing w:line="500" w:lineRule="atLeast"/>
        <w:jc w:val="right"/>
        <w:divId w:val="212121833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王颖姝</w:t>
      </w:r>
    </w:p>
    <w:p w:rsidR="00000000" w:rsidRDefault="00295AB0">
      <w:pPr>
        <w:spacing w:line="500" w:lineRule="atLeast"/>
        <w:jc w:val="right"/>
        <w:divId w:val="15315304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姜　峰</w:t>
      </w:r>
    </w:p>
    <w:p w:rsidR="00000000" w:rsidRDefault="00295AB0">
      <w:pPr>
        <w:spacing w:line="500" w:lineRule="atLeast"/>
        <w:jc w:val="right"/>
        <w:divId w:val="161559443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关鹿凝</w:t>
      </w:r>
    </w:p>
    <w:p w:rsidR="00000000" w:rsidRDefault="00295AB0">
      <w:pPr>
        <w:spacing w:line="500" w:lineRule="atLeast"/>
        <w:jc w:val="right"/>
        <w:divId w:val="984168102"/>
        <w:rPr>
          <w:rFonts w:hint="eastAsia"/>
          <w:sz w:val="30"/>
          <w:szCs w:val="30"/>
        </w:rPr>
      </w:pPr>
      <w:r>
        <w:rPr>
          <w:rFonts w:hint="eastAsia"/>
          <w:sz w:val="30"/>
          <w:szCs w:val="30"/>
        </w:rPr>
        <w:t>二〇二一年六月十七日</w:t>
      </w:r>
    </w:p>
    <w:p w:rsidR="00000000" w:rsidRDefault="00295AB0">
      <w:pPr>
        <w:spacing w:line="500" w:lineRule="atLeast"/>
        <w:jc w:val="right"/>
        <w:divId w:val="395056064"/>
        <w:rPr>
          <w:rFonts w:hint="eastAsia"/>
          <w:sz w:val="30"/>
          <w:szCs w:val="30"/>
        </w:rPr>
      </w:pPr>
      <w:r>
        <w:rPr>
          <w:rFonts w:hint="eastAsia"/>
          <w:sz w:val="30"/>
          <w:szCs w:val="30"/>
        </w:rPr>
        <w:t>法官助理　邹洁茹</w:t>
      </w:r>
    </w:p>
    <w:p w:rsidR="00000000" w:rsidRDefault="00295AB0">
      <w:pPr>
        <w:spacing w:line="500" w:lineRule="atLeast"/>
        <w:jc w:val="right"/>
        <w:divId w:val="83854739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张雪萌</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B0" w:rsidRDefault="00295AB0" w:rsidP="00295AB0">
      <w:r>
        <w:separator/>
      </w:r>
    </w:p>
  </w:endnote>
  <w:endnote w:type="continuationSeparator" w:id="0">
    <w:p w:rsidR="00295AB0" w:rsidRDefault="00295AB0" w:rsidP="0029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B0" w:rsidRDefault="00295AB0" w:rsidP="00295AB0">
      <w:r>
        <w:separator/>
      </w:r>
    </w:p>
  </w:footnote>
  <w:footnote w:type="continuationSeparator" w:id="0">
    <w:p w:rsidR="00295AB0" w:rsidRDefault="00295AB0" w:rsidP="00295A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5AB0"/>
    <w:rsid w:val="0029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95A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AB0"/>
    <w:rPr>
      <w:rFonts w:ascii="宋体" w:eastAsia="宋体" w:hAnsi="宋体" w:cs="宋体"/>
      <w:sz w:val="18"/>
      <w:szCs w:val="18"/>
    </w:rPr>
  </w:style>
  <w:style w:type="paragraph" w:styleId="a5">
    <w:name w:val="footer"/>
    <w:basedOn w:val="a"/>
    <w:link w:val="a6"/>
    <w:uiPriority w:val="99"/>
    <w:unhideWhenUsed/>
    <w:rsid w:val="00295AB0"/>
    <w:pPr>
      <w:tabs>
        <w:tab w:val="center" w:pos="4153"/>
        <w:tab w:val="right" w:pos="8306"/>
      </w:tabs>
      <w:snapToGrid w:val="0"/>
    </w:pPr>
    <w:rPr>
      <w:sz w:val="18"/>
      <w:szCs w:val="18"/>
    </w:rPr>
  </w:style>
  <w:style w:type="character" w:customStyle="1" w:styleId="a6">
    <w:name w:val="页脚 字符"/>
    <w:basedOn w:val="a0"/>
    <w:link w:val="a5"/>
    <w:uiPriority w:val="99"/>
    <w:rsid w:val="00295AB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4548">
      <w:marLeft w:val="0"/>
      <w:marRight w:val="0"/>
      <w:marTop w:val="10"/>
      <w:marBottom w:val="10"/>
      <w:divBdr>
        <w:top w:val="none" w:sz="0" w:space="0" w:color="auto"/>
        <w:left w:val="none" w:sz="0" w:space="0" w:color="auto"/>
        <w:bottom w:val="none" w:sz="0" w:space="0" w:color="auto"/>
        <w:right w:val="none" w:sz="0" w:space="0" w:color="auto"/>
      </w:divBdr>
    </w:div>
    <w:div w:id="128713464">
      <w:marLeft w:val="0"/>
      <w:marRight w:val="0"/>
      <w:marTop w:val="10"/>
      <w:marBottom w:val="10"/>
      <w:divBdr>
        <w:top w:val="none" w:sz="0" w:space="0" w:color="auto"/>
        <w:left w:val="none" w:sz="0" w:space="0" w:color="auto"/>
        <w:bottom w:val="none" w:sz="0" w:space="0" w:color="auto"/>
        <w:right w:val="none" w:sz="0" w:space="0" w:color="auto"/>
      </w:divBdr>
    </w:div>
    <w:div w:id="349141000">
      <w:marLeft w:val="0"/>
      <w:marRight w:val="0"/>
      <w:marTop w:val="10"/>
      <w:marBottom w:val="10"/>
      <w:divBdr>
        <w:top w:val="none" w:sz="0" w:space="0" w:color="auto"/>
        <w:left w:val="none" w:sz="0" w:space="0" w:color="auto"/>
        <w:bottom w:val="none" w:sz="0" w:space="0" w:color="auto"/>
        <w:right w:val="none" w:sz="0" w:space="0" w:color="auto"/>
      </w:divBdr>
    </w:div>
    <w:div w:id="395056064">
      <w:marLeft w:val="0"/>
      <w:marRight w:val="720"/>
      <w:marTop w:val="10"/>
      <w:marBottom w:val="10"/>
      <w:divBdr>
        <w:top w:val="none" w:sz="0" w:space="0" w:color="auto"/>
        <w:left w:val="none" w:sz="0" w:space="0" w:color="auto"/>
        <w:bottom w:val="none" w:sz="0" w:space="0" w:color="auto"/>
        <w:right w:val="none" w:sz="0" w:space="0" w:color="auto"/>
      </w:divBdr>
    </w:div>
    <w:div w:id="731317740">
      <w:marLeft w:val="0"/>
      <w:marRight w:val="0"/>
      <w:marTop w:val="10"/>
      <w:marBottom w:val="10"/>
      <w:divBdr>
        <w:top w:val="none" w:sz="0" w:space="0" w:color="auto"/>
        <w:left w:val="none" w:sz="0" w:space="0" w:color="auto"/>
        <w:bottom w:val="none" w:sz="0" w:space="0" w:color="auto"/>
        <w:right w:val="none" w:sz="0" w:space="0" w:color="auto"/>
      </w:divBdr>
    </w:div>
    <w:div w:id="838547396">
      <w:marLeft w:val="0"/>
      <w:marRight w:val="720"/>
      <w:marTop w:val="10"/>
      <w:marBottom w:val="10"/>
      <w:divBdr>
        <w:top w:val="none" w:sz="0" w:space="0" w:color="auto"/>
        <w:left w:val="none" w:sz="0" w:space="0" w:color="auto"/>
        <w:bottom w:val="none" w:sz="0" w:space="0" w:color="auto"/>
        <w:right w:val="none" w:sz="0" w:space="0" w:color="auto"/>
      </w:divBdr>
    </w:div>
    <w:div w:id="967246827">
      <w:marLeft w:val="0"/>
      <w:marRight w:val="0"/>
      <w:marTop w:val="10"/>
      <w:marBottom w:val="10"/>
      <w:divBdr>
        <w:top w:val="none" w:sz="0" w:space="0" w:color="auto"/>
        <w:left w:val="none" w:sz="0" w:space="0" w:color="auto"/>
        <w:bottom w:val="none" w:sz="0" w:space="0" w:color="auto"/>
        <w:right w:val="none" w:sz="0" w:space="0" w:color="auto"/>
      </w:divBdr>
    </w:div>
    <w:div w:id="984168102">
      <w:marLeft w:val="0"/>
      <w:marRight w:val="720"/>
      <w:marTop w:val="10"/>
      <w:marBottom w:val="10"/>
      <w:divBdr>
        <w:top w:val="none" w:sz="0" w:space="0" w:color="auto"/>
        <w:left w:val="none" w:sz="0" w:space="0" w:color="auto"/>
        <w:bottom w:val="none" w:sz="0" w:space="0" w:color="auto"/>
        <w:right w:val="none" w:sz="0" w:space="0" w:color="auto"/>
      </w:divBdr>
    </w:div>
    <w:div w:id="1166940521">
      <w:marLeft w:val="0"/>
      <w:marRight w:val="0"/>
      <w:marTop w:val="10"/>
      <w:marBottom w:val="10"/>
      <w:divBdr>
        <w:top w:val="none" w:sz="0" w:space="0" w:color="auto"/>
        <w:left w:val="none" w:sz="0" w:space="0" w:color="auto"/>
        <w:bottom w:val="none" w:sz="0" w:space="0" w:color="auto"/>
        <w:right w:val="none" w:sz="0" w:space="0" w:color="auto"/>
      </w:divBdr>
    </w:div>
    <w:div w:id="1287196164">
      <w:marLeft w:val="0"/>
      <w:marRight w:val="0"/>
      <w:marTop w:val="10"/>
      <w:marBottom w:val="10"/>
      <w:divBdr>
        <w:top w:val="none" w:sz="0" w:space="0" w:color="auto"/>
        <w:left w:val="none" w:sz="0" w:space="0" w:color="auto"/>
        <w:bottom w:val="none" w:sz="0" w:space="0" w:color="auto"/>
        <w:right w:val="none" w:sz="0" w:space="0" w:color="auto"/>
      </w:divBdr>
    </w:div>
    <w:div w:id="1531530495">
      <w:marLeft w:val="0"/>
      <w:marRight w:val="720"/>
      <w:marTop w:val="10"/>
      <w:marBottom w:val="10"/>
      <w:divBdr>
        <w:top w:val="none" w:sz="0" w:space="0" w:color="auto"/>
        <w:left w:val="none" w:sz="0" w:space="0" w:color="auto"/>
        <w:bottom w:val="none" w:sz="0" w:space="0" w:color="auto"/>
        <w:right w:val="none" w:sz="0" w:space="0" w:color="auto"/>
      </w:divBdr>
    </w:div>
    <w:div w:id="1536232346">
      <w:marLeft w:val="0"/>
      <w:marRight w:val="0"/>
      <w:marTop w:val="10"/>
      <w:marBottom w:val="10"/>
      <w:divBdr>
        <w:top w:val="none" w:sz="0" w:space="0" w:color="auto"/>
        <w:left w:val="none" w:sz="0" w:space="0" w:color="auto"/>
        <w:bottom w:val="none" w:sz="0" w:space="0" w:color="auto"/>
        <w:right w:val="none" w:sz="0" w:space="0" w:color="auto"/>
      </w:divBdr>
    </w:div>
    <w:div w:id="1615594431">
      <w:marLeft w:val="0"/>
      <w:marRight w:val="720"/>
      <w:marTop w:val="10"/>
      <w:marBottom w:val="10"/>
      <w:divBdr>
        <w:top w:val="none" w:sz="0" w:space="0" w:color="auto"/>
        <w:left w:val="none" w:sz="0" w:space="0" w:color="auto"/>
        <w:bottom w:val="none" w:sz="0" w:space="0" w:color="auto"/>
        <w:right w:val="none" w:sz="0" w:space="0" w:color="auto"/>
      </w:divBdr>
    </w:div>
    <w:div w:id="1616323982">
      <w:marLeft w:val="0"/>
      <w:marRight w:val="0"/>
      <w:marTop w:val="10"/>
      <w:marBottom w:val="10"/>
      <w:divBdr>
        <w:top w:val="none" w:sz="0" w:space="0" w:color="auto"/>
        <w:left w:val="none" w:sz="0" w:space="0" w:color="auto"/>
        <w:bottom w:val="none" w:sz="0" w:space="0" w:color="auto"/>
        <w:right w:val="none" w:sz="0" w:space="0" w:color="auto"/>
      </w:divBdr>
    </w:div>
    <w:div w:id="1672366025">
      <w:marLeft w:val="0"/>
      <w:marRight w:val="0"/>
      <w:marTop w:val="10"/>
      <w:marBottom w:val="10"/>
      <w:divBdr>
        <w:top w:val="none" w:sz="0" w:space="0" w:color="auto"/>
        <w:left w:val="none" w:sz="0" w:space="0" w:color="auto"/>
        <w:bottom w:val="none" w:sz="0" w:space="0" w:color="auto"/>
        <w:right w:val="none" w:sz="0" w:space="0" w:color="auto"/>
      </w:divBdr>
    </w:div>
    <w:div w:id="1736276243">
      <w:marLeft w:val="0"/>
      <w:marRight w:val="0"/>
      <w:marTop w:val="10"/>
      <w:marBottom w:val="10"/>
      <w:divBdr>
        <w:top w:val="none" w:sz="0" w:space="0" w:color="auto"/>
        <w:left w:val="none" w:sz="0" w:space="0" w:color="auto"/>
        <w:bottom w:val="none" w:sz="0" w:space="0" w:color="auto"/>
        <w:right w:val="none" w:sz="0" w:space="0" w:color="auto"/>
      </w:divBdr>
    </w:div>
    <w:div w:id="212121833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