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72"/>
          <w:szCs w:val="72"/>
        </w:rPr>
      </w:pPr>
      <w:r>
        <w:rPr>
          <w:rFonts w:hint="eastAsia"/>
          <w:b/>
          <w:bCs/>
          <w:sz w:val="72"/>
          <w:szCs w:val="72"/>
          <w:lang w:val="en-US" w:eastAsia="zh-CN"/>
        </w:rPr>
        <w:drawing>
          <wp:inline distT="0" distB="0" distL="114300" distR="114300">
            <wp:extent cx="5273040" cy="895985"/>
            <wp:effectExtent l="0" t="0" r="10160" b="5715"/>
            <wp:docPr id="8" name="图片 8" descr="2df5d3ef37fc5f7cefc2dc6f14d9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df5d3ef37fc5f7cefc2dc6f14d9cc4"/>
                    <pic:cNvPicPr>
                      <a:picLocks noChangeAspect="1"/>
                    </pic:cNvPicPr>
                  </pic:nvPicPr>
                  <pic:blipFill>
                    <a:blip r:embed="rId4"/>
                    <a:stretch>
                      <a:fillRect/>
                    </a:stretch>
                  </pic:blipFill>
                  <pic:spPr>
                    <a:xfrm>
                      <a:off x="0" y="0"/>
                      <a:ext cx="5273040" cy="895985"/>
                    </a:xfrm>
                    <a:prstGeom prst="rect">
                      <a:avLst/>
                    </a:prstGeom>
                  </pic:spPr>
                </pic:pic>
              </a:graphicData>
            </a:graphic>
          </wp:inline>
        </w:drawing>
      </w:r>
    </w:p>
    <w:p>
      <w:pPr>
        <w:jc w:val="center"/>
        <w:rPr>
          <w:b/>
          <w:bCs/>
          <w:sz w:val="72"/>
          <w:szCs w:val="72"/>
        </w:rPr>
      </w:pPr>
      <w:r>
        <w:rPr>
          <w:rFonts w:hint="eastAsia"/>
          <w:b/>
          <w:bCs/>
          <w:sz w:val="72"/>
          <w:szCs w:val="72"/>
        </w:rPr>
        <w:t>技术报告</w:t>
      </w:r>
    </w:p>
    <w:p>
      <w:pPr>
        <w:jc w:val="center"/>
        <w:rPr>
          <w:b/>
          <w:bCs/>
          <w:sz w:val="36"/>
          <w:szCs w:val="40"/>
        </w:rPr>
      </w:pPr>
    </w:p>
    <w:p>
      <w:pPr>
        <w:rPr>
          <w:b/>
          <w:bCs/>
          <w:sz w:val="36"/>
          <w:szCs w:val="40"/>
        </w:rPr>
      </w:pPr>
    </w:p>
    <w:p>
      <w:pPr>
        <w:jc w:val="center"/>
        <w:outlineLvl w:val="0"/>
        <w:rPr>
          <w:b/>
          <w:bCs/>
          <w:sz w:val="36"/>
          <w:szCs w:val="36"/>
        </w:rPr>
      </w:pPr>
      <w:bookmarkStart w:id="0" w:name="_Toc29524"/>
      <w:r>
        <w:rPr>
          <w:rFonts w:hint="eastAsia"/>
          <w:sz w:val="36"/>
          <w:szCs w:val="36"/>
          <w:lang w:val="en-US" w:eastAsia="zh-CN"/>
        </w:rPr>
        <w:t>基于MindSpore</w:t>
      </w:r>
      <w:r>
        <w:rPr>
          <w:rFonts w:hint="eastAsia"/>
          <w:sz w:val="36"/>
          <w:szCs w:val="36"/>
        </w:rPr>
        <w:t>个性化大语言模型家庭教师应用开发</w:t>
      </w:r>
      <w:bookmarkEnd w:id="0"/>
    </w:p>
    <w:p>
      <w:pPr>
        <w:rPr>
          <w:b/>
          <w:bCs/>
          <w:sz w:val="36"/>
          <w:szCs w:val="40"/>
        </w:rPr>
      </w:pPr>
    </w:p>
    <w:p>
      <w:pPr>
        <w:rPr>
          <w:b/>
          <w:bCs/>
          <w:sz w:val="36"/>
          <w:szCs w:val="40"/>
        </w:rPr>
      </w:pPr>
    </w:p>
    <w:p>
      <w:pPr>
        <w:tabs>
          <w:tab w:val="left" w:pos="3060"/>
        </w:tabs>
        <w:spacing w:line="800" w:lineRule="exact"/>
        <w:ind w:firstLine="900" w:firstLineChars="300"/>
        <w:jc w:val="left"/>
        <w:rPr>
          <w:rFonts w:ascii="宋体" w:hAnsi="宋体" w:cs="宋体"/>
          <w:sz w:val="30"/>
          <w:szCs w:val="30"/>
        </w:rPr>
      </w:pPr>
    </w:p>
    <w:p>
      <w:pPr>
        <w:tabs>
          <w:tab w:val="left" w:pos="3060"/>
        </w:tabs>
        <w:spacing w:line="480" w:lineRule="auto"/>
        <w:ind w:firstLine="900" w:firstLineChars="300"/>
        <w:jc w:val="left"/>
        <w:rPr>
          <w:rFonts w:ascii="仿宋_GB2312" w:hAnsi="仿宋_GB2312" w:eastAsia="仿宋_GB2312"/>
          <w:sz w:val="30"/>
          <w:szCs w:val="30"/>
        </w:rPr>
      </w:pPr>
      <w:r>
        <w:rPr>
          <w:rFonts w:hint="eastAsia" w:ascii="宋体" w:hAnsi="宋体" w:cs="宋体"/>
          <w:sz w:val="30"/>
          <w:szCs w:val="30"/>
        </w:rPr>
        <w:t>参赛队名：</w:t>
      </w:r>
      <w:r>
        <w:rPr>
          <w:rFonts w:hint="eastAsia" w:ascii="仿宋_GB2312" w:hAnsi="仿宋_GB2312" w:eastAsia="仿宋_GB2312"/>
          <w:sz w:val="30"/>
          <w:szCs w:val="30"/>
          <w:u w:val="single"/>
        </w:rPr>
        <w:t xml:space="preserve">           </w:t>
      </w:r>
      <w:r>
        <w:rPr>
          <w:rFonts w:ascii="宋体" w:hAnsi="宋体" w:eastAsia="宋体" w:cs="宋体"/>
          <w:sz w:val="30"/>
          <w:szCs w:val="30"/>
          <w:u w:val="single"/>
        </w:rPr>
        <w:t>创出未来</w:t>
      </w:r>
      <w:r>
        <w:rPr>
          <w:rFonts w:hint="eastAsia" w:ascii="仿宋_GB2312" w:hAnsi="仿宋_GB2312" w:eastAsia="仿宋_GB2312"/>
          <w:sz w:val="30"/>
          <w:szCs w:val="30"/>
          <w:u w:val="single"/>
        </w:rPr>
        <w:t xml:space="preserve">              </w:t>
      </w:r>
    </w:p>
    <w:p>
      <w:pPr>
        <w:tabs>
          <w:tab w:val="left" w:pos="3060"/>
        </w:tabs>
        <w:spacing w:line="480" w:lineRule="auto"/>
        <w:ind w:firstLine="900" w:firstLineChars="300"/>
        <w:jc w:val="left"/>
        <w:rPr>
          <w:rFonts w:ascii="仿宋_GB2312" w:hAnsi="仿宋_GB2312" w:eastAsia="仿宋_GB2312"/>
          <w:sz w:val="30"/>
          <w:szCs w:val="30"/>
          <w:u w:val="single"/>
        </w:rPr>
      </w:pPr>
      <w:r>
        <w:rPr>
          <w:rFonts w:hint="eastAsia" w:ascii="宋体" w:hAnsi="宋体" w:cs="宋体"/>
          <w:sz w:val="30"/>
          <w:szCs w:val="30"/>
        </w:rPr>
        <w:t>队</w:t>
      </w:r>
      <w:r>
        <w:rPr>
          <w:rFonts w:hint="eastAsia" w:ascii="仿宋_GB2312" w:hAnsi="仿宋_GB2312" w:eastAsia="仿宋_GB2312"/>
          <w:sz w:val="30"/>
          <w:szCs w:val="30"/>
        </w:rPr>
        <w:t xml:space="preserve">    </w:t>
      </w:r>
      <w:r>
        <w:rPr>
          <w:rFonts w:hint="eastAsia" w:ascii="宋体" w:hAnsi="宋体" w:cs="宋体"/>
          <w:sz w:val="30"/>
          <w:szCs w:val="30"/>
        </w:rPr>
        <w:t>长：</w:t>
      </w:r>
      <w:r>
        <w:rPr>
          <w:rFonts w:hint="eastAsia" w:ascii="仿宋_GB2312" w:hAnsi="仿宋_GB2312" w:eastAsia="仿宋_GB2312"/>
          <w:sz w:val="30"/>
          <w:szCs w:val="30"/>
          <w:u w:val="single"/>
        </w:rPr>
        <w:t xml:space="preserve">           冼嘉荣                </w:t>
      </w:r>
    </w:p>
    <w:p>
      <w:pPr>
        <w:tabs>
          <w:tab w:val="left" w:pos="3060"/>
        </w:tabs>
        <w:spacing w:line="480" w:lineRule="auto"/>
        <w:ind w:firstLine="900" w:firstLineChars="300"/>
        <w:jc w:val="left"/>
        <w:rPr>
          <w:rFonts w:ascii="仿宋_GB2312" w:hAnsi="仿宋_GB2312" w:eastAsia="仿宋_GB2312"/>
          <w:sz w:val="30"/>
          <w:szCs w:val="30"/>
          <w:u w:val="single"/>
        </w:rPr>
      </w:pPr>
      <w:r>
        <w:rPr>
          <w:rFonts w:hint="eastAsia" w:ascii="宋体" w:hAnsi="宋体" w:cs="宋体"/>
          <w:sz w:val="30"/>
          <w:szCs w:val="30"/>
        </w:rPr>
        <w:t>联系方式：</w:t>
      </w:r>
      <w:r>
        <w:rPr>
          <w:rFonts w:hint="eastAsia" w:ascii="仿宋_GB2312" w:hAnsi="仿宋_GB2312" w:eastAsia="仿宋_GB2312"/>
          <w:sz w:val="30"/>
          <w:szCs w:val="30"/>
          <w:u w:val="single"/>
        </w:rPr>
        <w:t xml:space="preserve">         17324521020             </w:t>
      </w:r>
    </w:p>
    <w:p>
      <w:pPr>
        <w:tabs>
          <w:tab w:val="left" w:pos="3060"/>
        </w:tabs>
        <w:spacing w:line="480" w:lineRule="auto"/>
        <w:ind w:firstLine="900" w:firstLineChars="300"/>
        <w:jc w:val="left"/>
        <w:rPr>
          <w:rFonts w:ascii="宋体" w:hAnsi="宋体" w:cs="宋体"/>
          <w:sz w:val="30"/>
          <w:szCs w:val="30"/>
          <w:u w:val="single"/>
        </w:rPr>
      </w:pPr>
      <w:r>
        <w:rPr>
          <w:rFonts w:hint="eastAsia" w:ascii="宋体" w:hAnsi="宋体" w:cs="宋体"/>
          <w:sz w:val="30"/>
          <w:szCs w:val="30"/>
        </w:rPr>
        <w:t>组员名单：</w:t>
      </w:r>
      <w:r>
        <w:rPr>
          <w:rFonts w:hint="eastAsia" w:ascii="仿宋_GB2312" w:hAnsi="仿宋_GB2312" w:eastAsia="仿宋_GB2312"/>
          <w:sz w:val="30"/>
          <w:szCs w:val="30"/>
          <w:u w:val="single"/>
        </w:rPr>
        <w:t xml:space="preserve">        袁基保、陈丞锋</w:t>
      </w:r>
      <w:r>
        <w:rPr>
          <w:rFonts w:hint="eastAsia" w:ascii="宋体" w:hAnsi="宋体" w:eastAsia="仿宋_GB2312" w:cs="宋体"/>
          <w:sz w:val="30"/>
          <w:szCs w:val="30"/>
          <w:u w:val="single"/>
        </w:rPr>
        <w:t xml:space="preserve">           </w:t>
      </w:r>
    </w:p>
    <w:p>
      <w:pPr>
        <w:spacing w:line="480" w:lineRule="auto"/>
        <w:rPr>
          <w:rFonts w:ascii="仿宋_GB2312" w:hAnsi="仿宋_GB2312" w:eastAsia="仿宋_GB2312"/>
          <w:sz w:val="30"/>
          <w:szCs w:val="30"/>
        </w:rPr>
      </w:pPr>
      <w:r>
        <w:rPr>
          <w:rFonts w:hint="eastAsia" w:ascii="仿宋_GB2312" w:hAnsi="仿宋_GB2312" w:eastAsia="仿宋_GB2312"/>
          <w:sz w:val="30"/>
          <w:szCs w:val="30"/>
        </w:rPr>
        <w:t xml:space="preserve">      </w:t>
      </w:r>
      <w:r>
        <w:rPr>
          <w:rFonts w:hint="eastAsia" w:ascii="宋体" w:hAnsi="宋体" w:cs="宋体"/>
          <w:sz w:val="30"/>
          <w:szCs w:val="30"/>
        </w:rPr>
        <w:t>指导老师：</w:t>
      </w:r>
      <w:r>
        <w:rPr>
          <w:rFonts w:ascii="宋体" w:hAnsi="宋体" w:cs="宋体"/>
          <w:sz w:val="30"/>
          <w:szCs w:val="30"/>
          <w:u w:val="single"/>
          <w:lang w:eastAsia="zh-Hans"/>
        </w:rPr>
        <w:t xml:space="preserve">   </w:t>
      </w:r>
      <w:r>
        <w:rPr>
          <w:rFonts w:hint="eastAsia" w:ascii="宋体" w:hAnsi="宋体" w:cs="宋体"/>
          <w:sz w:val="30"/>
          <w:szCs w:val="30"/>
          <w:u w:val="single"/>
        </w:rPr>
        <w:t xml:space="preserve">       </w:t>
      </w:r>
      <w:r>
        <w:rPr>
          <w:rFonts w:hint="eastAsia" w:ascii="仿宋_GB2312" w:hAnsi="仿宋_GB2312" w:eastAsia="仿宋_GB2312"/>
          <w:sz w:val="30"/>
          <w:szCs w:val="30"/>
          <w:u w:val="single"/>
        </w:rPr>
        <w:t xml:space="preserve">刘寿强 </w:t>
      </w:r>
      <w:r>
        <w:rPr>
          <w:rFonts w:hint="eastAsia" w:ascii="宋体" w:hAnsi="宋体" w:eastAsia="仿宋_GB2312" w:cs="宋体"/>
          <w:sz w:val="30"/>
          <w:szCs w:val="30"/>
          <w:u w:val="single"/>
        </w:rPr>
        <w:t xml:space="preserve"> </w:t>
      </w:r>
      <w:r>
        <w:rPr>
          <w:rFonts w:hint="eastAsia" w:ascii="宋体" w:hAnsi="宋体" w:cs="宋体"/>
          <w:sz w:val="30"/>
          <w:szCs w:val="30"/>
          <w:u w:val="single"/>
        </w:rPr>
        <w:t xml:space="preserve">     </w:t>
      </w:r>
      <w:r>
        <w:rPr>
          <w:rFonts w:hint="eastAsia" w:ascii="仿宋_GB2312" w:hAnsi="仿宋_GB2312" w:eastAsia="仿宋_GB2312"/>
          <w:sz w:val="30"/>
          <w:szCs w:val="30"/>
          <w:u w:val="single"/>
        </w:rPr>
        <w:t xml:space="preserve">          </w:t>
      </w:r>
    </w:p>
    <w:p>
      <w:pPr>
        <w:spacing w:line="480" w:lineRule="auto"/>
        <w:rPr>
          <w:rFonts w:ascii="仿宋_GB2312" w:hAnsi="仿宋_GB2312" w:eastAsia="仿宋_GB2312"/>
          <w:sz w:val="30"/>
          <w:szCs w:val="30"/>
          <w:u w:val="single"/>
        </w:rPr>
      </w:pPr>
      <w:r>
        <w:rPr>
          <w:rFonts w:hint="eastAsia" w:ascii="仿宋_GB2312" w:hAnsi="仿宋_GB2312" w:eastAsia="仿宋_GB2312"/>
          <w:sz w:val="30"/>
          <w:szCs w:val="30"/>
        </w:rPr>
        <w:t xml:space="preserve">      </w:t>
      </w:r>
      <w:r>
        <w:rPr>
          <w:rFonts w:hint="eastAsia" w:ascii="宋体" w:hAnsi="宋体" w:cs="宋体"/>
          <w:sz w:val="30"/>
          <w:szCs w:val="30"/>
        </w:rPr>
        <w:t>参赛单位：</w:t>
      </w:r>
      <w:r>
        <w:rPr>
          <w:rFonts w:ascii="宋体" w:hAnsi="宋体" w:cs="宋体"/>
          <w:sz w:val="30"/>
          <w:szCs w:val="30"/>
          <w:u w:val="single"/>
          <w:lang w:eastAsia="zh-Hans"/>
        </w:rPr>
        <w:t xml:space="preserve">   </w:t>
      </w:r>
      <w:r>
        <w:rPr>
          <w:rFonts w:hint="eastAsia" w:ascii="仿宋_GB2312" w:hAnsi="仿宋_GB2312" w:eastAsia="仿宋_GB2312"/>
          <w:sz w:val="30"/>
          <w:szCs w:val="30"/>
          <w:u w:val="single"/>
        </w:rPr>
        <w:t xml:space="preserve">华南师范大学人工智能学院  </w:t>
      </w:r>
      <w:r>
        <w:rPr>
          <w:rFonts w:ascii="仿宋_GB2312" w:hAnsi="仿宋_GB2312" w:eastAsia="仿宋_GB2312"/>
          <w:sz w:val="30"/>
          <w:szCs w:val="30"/>
          <w:u w:val="single"/>
        </w:rPr>
        <w:t xml:space="preserve"> </w:t>
      </w:r>
      <w:r>
        <w:rPr>
          <w:rFonts w:hint="eastAsia" w:ascii="仿宋_GB2312" w:hAnsi="仿宋_GB2312" w:eastAsia="仿宋_GB2312"/>
          <w:sz w:val="30"/>
          <w:szCs w:val="30"/>
          <w:u w:val="single"/>
        </w:rPr>
        <w:t xml:space="preserve">  </w:t>
      </w:r>
      <w:r>
        <w:rPr>
          <w:rFonts w:ascii="仿宋_GB2312" w:hAnsi="仿宋_GB2312" w:eastAsia="仿宋_GB2312"/>
          <w:sz w:val="30"/>
          <w:szCs w:val="30"/>
          <w:u w:val="single"/>
        </w:rPr>
        <w:t xml:space="preserve"> </w:t>
      </w:r>
    </w:p>
    <w:p>
      <w:pPr>
        <w:spacing w:line="480" w:lineRule="auto"/>
        <w:rPr>
          <w:b/>
          <w:bCs/>
          <w:sz w:val="32"/>
          <w:szCs w:val="32"/>
        </w:rPr>
      </w:pPr>
      <w:r>
        <w:rPr>
          <w:rFonts w:hint="eastAsia" w:ascii="仿宋_GB2312" w:hAnsi="仿宋_GB2312" w:eastAsia="仿宋_GB2312"/>
          <w:sz w:val="30"/>
          <w:szCs w:val="30"/>
        </w:rPr>
        <w:t xml:space="preserve">      </w:t>
      </w:r>
      <w:r>
        <w:rPr>
          <w:rFonts w:hint="eastAsia" w:ascii="宋体" w:hAnsi="宋体" w:cs="宋体"/>
          <w:sz w:val="30"/>
          <w:szCs w:val="30"/>
        </w:rPr>
        <w:t>作品类别：</w:t>
      </w:r>
      <w:r>
        <w:rPr>
          <w:rFonts w:ascii="宋体" w:hAnsi="宋体" w:cs="宋体"/>
          <w:sz w:val="30"/>
          <w:szCs w:val="30"/>
          <w:u w:val="single"/>
          <w:lang w:eastAsia="zh-Hans"/>
        </w:rPr>
        <w:t xml:space="preserve">  </w:t>
      </w:r>
      <w:r>
        <w:rPr>
          <w:rFonts w:hint="eastAsia" w:ascii="宋体" w:hAnsi="宋体" w:cs="宋体"/>
          <w:sz w:val="30"/>
          <w:szCs w:val="30"/>
          <w:u w:val="single"/>
        </w:rPr>
        <w:t xml:space="preserve">     </w:t>
      </w:r>
      <w:r>
        <w:rPr>
          <w:rFonts w:ascii="宋体" w:hAnsi="宋体" w:cs="宋体"/>
          <w:sz w:val="30"/>
          <w:szCs w:val="30"/>
          <w:u w:val="single"/>
          <w:lang w:eastAsia="zh-Hans"/>
        </w:rPr>
        <w:t xml:space="preserve"> </w:t>
      </w:r>
      <w:r>
        <w:rPr>
          <w:rFonts w:hint="eastAsia" w:ascii="仿宋_GB2312" w:hAnsi="仿宋_GB2312" w:eastAsia="仿宋_GB2312"/>
          <w:sz w:val="30"/>
          <w:szCs w:val="30"/>
          <w:u w:val="single"/>
        </w:rPr>
        <w:t>开源任务贡献</w:t>
      </w:r>
      <w:r>
        <w:rPr>
          <w:rFonts w:ascii="宋体" w:hAnsi="宋体" w:cs="宋体"/>
          <w:sz w:val="30"/>
          <w:szCs w:val="30"/>
          <w:u w:val="single"/>
          <w:lang w:eastAsia="zh-Hans"/>
        </w:rPr>
        <w:t xml:space="preserve">         </w:t>
      </w:r>
      <w:r>
        <w:rPr>
          <w:rFonts w:hint="eastAsia" w:ascii="宋体" w:hAnsi="宋体" w:cs="宋体"/>
          <w:sz w:val="30"/>
          <w:szCs w:val="30"/>
          <w:u w:val="single"/>
        </w:rPr>
        <w:t xml:space="preserve">    </w:t>
      </w:r>
    </w:p>
    <w:p>
      <w:pPr>
        <w:spacing w:line="480" w:lineRule="auto"/>
        <w:ind w:firstLine="900" w:firstLineChars="300"/>
        <w:rPr>
          <w:b/>
          <w:bCs/>
          <w:sz w:val="24"/>
          <w:szCs w:val="24"/>
        </w:rPr>
      </w:pPr>
      <w:r>
        <w:rPr>
          <w:rFonts w:hint="eastAsia" w:ascii="宋体" w:hAnsi="宋体" w:cs="宋体"/>
          <w:sz w:val="30"/>
          <w:szCs w:val="30"/>
          <w:lang w:eastAsia="zh-Hans"/>
        </w:rPr>
        <w:t>作品链接</w:t>
      </w:r>
      <w:r>
        <w:rPr>
          <w:rFonts w:hint="eastAsia" w:ascii="宋体" w:hAnsi="宋体" w:cs="宋体"/>
          <w:sz w:val="30"/>
          <w:szCs w:val="30"/>
        </w:rPr>
        <w:t>：</w:t>
      </w:r>
      <w:r>
        <w:rPr>
          <w:rFonts w:hint="eastAsia" w:ascii="宋体" w:hAnsi="宋体" w:cs="宋体"/>
          <w:sz w:val="30"/>
          <w:szCs w:val="30"/>
          <w:u w:val="single"/>
        </w:rPr>
        <w:t xml:space="preserve">  </w:t>
      </w:r>
      <w:r>
        <w:fldChar w:fldCharType="begin"/>
      </w:r>
      <w:r>
        <w:instrText xml:space="preserve"> HYPERLINK "https://www.gitlink.org.cn/tmlwacre/fraudKG" </w:instrText>
      </w:r>
      <w:r>
        <w:fldChar w:fldCharType="separate"/>
      </w:r>
      <w:r>
        <w:rPr>
          <w:rStyle w:val="10"/>
          <w:rFonts w:ascii="Times New Roman" w:hAnsi="Times New Roman" w:cs="Times New Roman"/>
          <w:sz w:val="24"/>
          <w:szCs w:val="24"/>
        </w:rPr>
        <w:t>https://www.gitlink.org.cn/tmlwacre/tutor</w:t>
      </w:r>
      <w:r>
        <w:rPr>
          <w:rStyle w:val="10"/>
          <w:rFonts w:ascii="Times New Roman" w:hAnsi="Times New Roman" w:cs="Times New Roman"/>
          <w:sz w:val="24"/>
          <w:szCs w:val="24"/>
        </w:rPr>
        <w:fldChar w:fldCharType="end"/>
      </w:r>
      <w:r>
        <w:rPr>
          <w:rFonts w:hint="eastAsia" w:ascii="Times New Roman" w:hAnsi="Times New Roman" w:cs="Times New Roman"/>
          <w:sz w:val="24"/>
          <w:szCs w:val="24"/>
          <w:u w:val="single"/>
        </w:rPr>
        <w:t xml:space="preserve">  </w:t>
      </w:r>
    </w:p>
    <w:p/>
    <w:p/>
    <w:p/>
    <w:p/>
    <w:p/>
    <w:p/>
    <w:p/>
    <w:p/>
    <w:p/>
    <w:p/>
    <w:p/>
    <w:p/>
    <w:p>
      <w:pPr>
        <w:jc w:val="center"/>
        <w:outlineLvl w:val="0"/>
        <w:rPr>
          <w:rFonts w:ascii="黑体" w:hAnsi="黑体" w:eastAsia="黑体" w:cs="黑体"/>
          <w:b/>
          <w:bCs/>
          <w:sz w:val="32"/>
          <w:szCs w:val="32"/>
        </w:rPr>
      </w:pPr>
      <w:bookmarkStart w:id="1" w:name="_Toc6229"/>
      <w:r>
        <w:rPr>
          <w:rFonts w:hint="eastAsia" w:ascii="黑体" w:hAnsi="黑体" w:eastAsia="黑体" w:cs="黑体"/>
          <w:b/>
          <w:bCs/>
          <w:sz w:val="32"/>
          <w:szCs w:val="32"/>
        </w:rPr>
        <w:t>个性化大语言模型家庭教师应用开发</w:t>
      </w:r>
      <w:bookmarkEnd w:id="1"/>
    </w:p>
    <w:p>
      <w:pPr>
        <w:spacing w:line="300" w:lineRule="auto"/>
        <w:jc w:val="center"/>
        <w:outlineLvl w:val="9"/>
        <w:rPr>
          <w:b/>
          <w:bCs/>
          <w:sz w:val="32"/>
          <w:szCs w:val="32"/>
        </w:rPr>
      </w:pPr>
    </w:p>
    <w:p>
      <w:pPr>
        <w:spacing w:line="300" w:lineRule="auto"/>
        <w:rPr>
          <w:b/>
          <w:bCs/>
          <w:sz w:val="32"/>
          <w:szCs w:val="32"/>
        </w:rPr>
      </w:pPr>
    </w:p>
    <w:p>
      <w:pPr>
        <w:spacing w:line="300" w:lineRule="auto"/>
        <w:jc w:val="center"/>
        <w:outlineLvl w:val="0"/>
        <w:rPr>
          <w:rFonts w:ascii="黑体" w:hAnsi="黑体" w:eastAsia="黑体" w:cs="黑体"/>
          <w:b/>
          <w:bCs/>
          <w:sz w:val="36"/>
          <w:szCs w:val="32"/>
        </w:rPr>
      </w:pPr>
      <w:bookmarkStart w:id="2" w:name="_Toc29459"/>
      <w:r>
        <w:rPr>
          <w:rFonts w:hint="eastAsia" w:ascii="黑体" w:hAnsi="黑体" w:eastAsia="黑体" w:cs="黑体"/>
          <w:b/>
          <w:bCs/>
          <w:sz w:val="36"/>
          <w:szCs w:val="32"/>
        </w:rPr>
        <w:t>摘要</w:t>
      </w:r>
      <w:bookmarkEnd w:id="2"/>
    </w:p>
    <w:p>
      <w:pPr>
        <w:ind w:firstLine="420"/>
        <w:rPr>
          <w:sz w:val="24"/>
          <w:szCs w:val="24"/>
        </w:rPr>
      </w:pPr>
      <w:r>
        <w:rPr>
          <w:sz w:val="24"/>
          <w:szCs w:val="24"/>
        </w:rPr>
        <w:t>在当今快速发展的时代背景下</w:t>
      </w:r>
      <w:r>
        <w:rPr>
          <w:rFonts w:hint="eastAsia"/>
          <w:sz w:val="24"/>
          <w:szCs w:val="24"/>
        </w:rPr>
        <w:t>，世界各地间的文化科技经济交流也愈来愈增强，语言沟通的重要性在这时也比任何时候都更加重要，</w:t>
      </w:r>
      <w:r>
        <w:rPr>
          <w:sz w:val="24"/>
          <w:szCs w:val="24"/>
        </w:rPr>
        <w:t>它能够促进经济全球化、文化交流，推动科技创新和教育合作，同时也为个人提供更广阔的人生体验和机遇。</w:t>
      </w:r>
      <w:r>
        <w:rPr>
          <w:rFonts w:hint="eastAsia"/>
          <w:sz w:val="24"/>
          <w:szCs w:val="24"/>
        </w:rPr>
        <w:t>但学习外语具有较长的学习的曲线，如何科学、高效率、低成本的掌握外语至今仍是一个难题。</w:t>
      </w:r>
    </w:p>
    <w:p>
      <w:pPr>
        <w:ind w:firstLine="420"/>
        <w:rPr>
          <w:sz w:val="24"/>
          <w:szCs w:val="24"/>
        </w:rPr>
      </w:pPr>
      <w:r>
        <w:rPr>
          <w:rFonts w:hint="eastAsia"/>
          <w:sz w:val="24"/>
          <w:szCs w:val="24"/>
        </w:rPr>
        <w:t>针对当前人工智能技术对个性化学习规划、学习辅导研究较少的现状，本项目在人工智能技术的基础上</w:t>
      </w:r>
      <w:r>
        <w:rPr>
          <w:sz w:val="24"/>
          <w:szCs w:val="24"/>
        </w:rPr>
        <w:t>提出了一种基于人工智能技术的定制化家教系统</w:t>
      </w:r>
      <w:r>
        <w:rPr>
          <w:rFonts w:hint="eastAsia"/>
          <w:sz w:val="24"/>
          <w:szCs w:val="24"/>
        </w:rPr>
        <w:t>。</w:t>
      </w:r>
      <w:r>
        <w:rPr>
          <w:sz w:val="24"/>
          <w:szCs w:val="24"/>
        </w:rPr>
        <w:t>该系统利用先进的语音识别模型，使学生能够通过语音输入与系统进行互动</w:t>
      </w:r>
      <w:r>
        <w:rPr>
          <w:rFonts w:hint="eastAsia"/>
          <w:sz w:val="24"/>
          <w:szCs w:val="24"/>
        </w:rPr>
        <w:t>，给出学习规划路线安排和语音反馈。本项目使用</w:t>
      </w:r>
      <w:r>
        <w:rPr>
          <w:sz w:val="24"/>
          <w:szCs w:val="24"/>
        </w:rPr>
        <w:t>达摩院语音团队提出的非自回归端到端语音识别框架Paraformer</w:t>
      </w:r>
      <w:r>
        <w:rPr>
          <w:rFonts w:hint="eastAsia"/>
          <w:sz w:val="24"/>
          <w:szCs w:val="24"/>
        </w:rPr>
        <w:t>进行语音识别并输入，运用大语言模型来进行推理，使用思维骨架进行长期推理和规划安排，接入微软TTS语音引擎，进行输出，实现对话。使该技术应用于家庭教师上更具可行性、合理性。</w:t>
      </w:r>
    </w:p>
    <w:p>
      <w:pPr>
        <w:ind w:firstLine="420"/>
        <w:rPr>
          <w:rFonts w:ascii="宋体" w:hAnsi="宋体" w:eastAsia="宋体" w:cs="宋体"/>
          <w:sz w:val="24"/>
          <w:szCs w:val="24"/>
        </w:rPr>
      </w:pPr>
      <w:r>
        <w:rPr>
          <w:rFonts w:hint="eastAsia"/>
          <w:sz w:val="24"/>
          <w:szCs w:val="24"/>
        </w:rPr>
        <w:t>本研究主要创新点有多模态、服务广泛等，</w:t>
      </w:r>
      <w:r>
        <w:rPr>
          <w:sz w:val="24"/>
          <w:szCs w:val="24"/>
        </w:rPr>
        <w:t>该定制化家教系统通过人工智能技术、个性化学习规划、向量记忆库和文字转语音模型等方面的创新，提供全面、个性化和互动性强的学习体验，</w:t>
      </w:r>
      <w:r>
        <w:rPr>
          <w:rFonts w:hint="eastAsia"/>
          <w:sz w:val="24"/>
          <w:szCs w:val="24"/>
        </w:rPr>
        <w:t>具有较大的应用前景，</w:t>
      </w:r>
      <w:r>
        <w:rPr>
          <w:sz w:val="24"/>
          <w:szCs w:val="24"/>
        </w:rPr>
        <w:t>适应当今快速发展的时代需求。据</w:t>
      </w:r>
      <w:r>
        <w:rPr>
          <w:rFonts w:hint="eastAsia"/>
          <w:sz w:val="24"/>
          <w:szCs w:val="24"/>
        </w:rPr>
        <w:t>行业权威</w:t>
      </w:r>
      <w:r>
        <w:rPr>
          <w:sz w:val="24"/>
          <w:szCs w:val="24"/>
        </w:rPr>
        <w:t>咨询</w:t>
      </w:r>
      <w:r>
        <w:rPr>
          <w:rFonts w:hint="eastAsia"/>
          <w:sz w:val="24"/>
          <w:szCs w:val="24"/>
        </w:rPr>
        <w:t>公司贝哲斯</w:t>
      </w:r>
      <w:r>
        <w:rPr>
          <w:sz w:val="24"/>
          <w:szCs w:val="24"/>
        </w:rPr>
        <w:t>对英语学习行业市场数据的统计显示，2022年全球与中国英语学习市场容量分别为3555.35亿元（人民币）与1560.09亿元。预计全球英语学习市场规模在预测期将以10.49%的CAGR增长并预估在2028年达6392.32亿元。</w:t>
      </w:r>
      <w:r>
        <w:rPr>
          <w:rFonts w:hint="eastAsia"/>
          <w:sz w:val="24"/>
          <w:szCs w:val="24"/>
        </w:rPr>
        <w:t>由此可见，该市场未来前景巨大。在有效降低学习难度的同时，进入稳定的千亿市值市场，具有较强的</w:t>
      </w:r>
      <w:r>
        <w:rPr>
          <w:rFonts w:hint="eastAsia" w:ascii="宋体" w:hAnsi="宋体" w:eastAsia="宋体" w:cs="宋体"/>
          <w:sz w:val="24"/>
          <w:szCs w:val="24"/>
        </w:rPr>
        <w:t>投资性、盈利性，也可满足广大的科普教育需求，具有深刻的社会意义。</w:t>
      </w:r>
    </w:p>
    <w:p>
      <w:pPr>
        <w:pStyle w:val="6"/>
        <w:widowControl/>
        <w:spacing w:beforeAutospacing="0" w:afterAutospacing="0"/>
        <w:ind w:firstLine="420"/>
        <w:rPr>
          <w:rFonts w:ascii="宋体" w:hAnsi="宋体" w:eastAsia="宋体" w:cs="宋体"/>
          <w:szCs w:val="24"/>
        </w:rPr>
      </w:pPr>
    </w:p>
    <w:p>
      <w:pPr>
        <w:spacing w:line="300" w:lineRule="auto"/>
        <w:ind w:firstLine="482" w:firstLineChars="200"/>
        <w:outlineLvl w:val="0"/>
        <w:rPr>
          <w:rFonts w:ascii="宋体" w:hAnsi="宋体" w:eastAsia="宋体" w:cs="宋体"/>
          <w:sz w:val="24"/>
        </w:rPr>
      </w:pPr>
      <w:bookmarkStart w:id="3" w:name="_Toc8135"/>
      <w:r>
        <w:rPr>
          <w:rFonts w:hint="eastAsia" w:ascii="黑体" w:hAnsi="黑体" w:eastAsia="黑体" w:cs="黑体"/>
          <w:b/>
          <w:bCs/>
          <w:sz w:val="24"/>
        </w:rPr>
        <w:t>关键词：</w:t>
      </w:r>
      <w:r>
        <w:rPr>
          <w:rFonts w:hint="eastAsia" w:ascii="宋体" w:hAnsi="宋体" w:eastAsia="宋体" w:cs="宋体"/>
          <w:sz w:val="24"/>
        </w:rPr>
        <w:t>多模态、思维骨架、向量记忆库</w:t>
      </w:r>
      <w:bookmarkEnd w:id="3"/>
    </w:p>
    <w:p/>
    <w:p/>
    <w:p/>
    <w:p/>
    <w:p/>
    <w:p/>
    <w:p/>
    <w:p/>
    <w:p/>
    <w:sdt>
      <w:sdtPr>
        <w:rPr>
          <w:rFonts w:ascii="宋体" w:hAnsi="宋体" w:eastAsia="宋体" w:cstheme="minorBidi"/>
          <w:kern w:val="2"/>
          <w:sz w:val="21"/>
          <w:szCs w:val="22"/>
          <w:lang w:val="en-US" w:eastAsia="zh-CN" w:bidi="ar-SA"/>
        </w:rPr>
        <w:id w:val="147471928"/>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fldChar w:fldCharType="begin"/>
          </w:r>
          <w:r>
            <w:instrText xml:space="preserve">TOC \o "1-3" \h \u </w:instrText>
          </w:r>
          <w:r>
            <w:fldChar w:fldCharType="separate"/>
          </w:r>
        </w:p>
        <w:p>
          <w:pPr>
            <w:pStyle w:val="12"/>
            <w:tabs>
              <w:tab w:val="right" w:leader="dot" w:pos="8306"/>
            </w:tabs>
          </w:pPr>
          <w:r>
            <w:fldChar w:fldCharType="begin"/>
          </w:r>
          <w:r>
            <w:instrText xml:space="preserve"> HYPERLINK \l _Toc29459 </w:instrText>
          </w:r>
          <w:r>
            <w:fldChar w:fldCharType="separate"/>
          </w:r>
          <w:r>
            <w:rPr>
              <w:rFonts w:hint="eastAsia" w:ascii="黑体" w:hAnsi="黑体" w:eastAsia="黑体" w:cs="黑体"/>
              <w:bCs/>
              <w:szCs w:val="32"/>
            </w:rPr>
            <w:t>摘要</w:t>
          </w:r>
          <w:r>
            <w:tab/>
          </w:r>
          <w:r>
            <w:fldChar w:fldCharType="begin"/>
          </w:r>
          <w:r>
            <w:instrText xml:space="preserve"> PAGEREF _Toc29459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_Toc21586 </w:instrText>
          </w:r>
          <w:r>
            <w:fldChar w:fldCharType="separate"/>
          </w:r>
          <w:r>
            <w:rPr>
              <w:rFonts w:hint="eastAsia"/>
            </w:rPr>
            <w:t>1</w:t>
          </w:r>
          <w:r>
            <w:t xml:space="preserve"> </w:t>
          </w:r>
          <w:r>
            <w:rPr>
              <w:rFonts w:hint="eastAsia"/>
            </w:rPr>
            <w:t>设计方案</w:t>
          </w:r>
          <w:r>
            <w:tab/>
          </w:r>
          <w:r>
            <w:fldChar w:fldCharType="begin"/>
          </w:r>
          <w:r>
            <w:instrText xml:space="preserve"> PAGEREF _Toc21586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_Toc29293 </w:instrText>
          </w:r>
          <w:r>
            <w:fldChar w:fldCharType="separate"/>
          </w:r>
          <w:r>
            <w:rPr>
              <w:rFonts w:hint="eastAsia" w:ascii="黑体" w:hAnsi="黑体" w:eastAsia="黑体" w:cs="黑体"/>
            </w:rPr>
            <w:t>1.1 需求分析</w:t>
          </w:r>
          <w:r>
            <w:tab/>
          </w:r>
          <w:r>
            <w:fldChar w:fldCharType="begin"/>
          </w:r>
          <w:r>
            <w:instrText xml:space="preserve"> PAGEREF _Toc29293 \h </w:instrText>
          </w:r>
          <w:r>
            <w:fldChar w:fldCharType="separate"/>
          </w:r>
          <w:r>
            <w:t>4</w:t>
          </w:r>
          <w:r>
            <w:fldChar w:fldCharType="end"/>
          </w:r>
          <w:r>
            <w:fldChar w:fldCharType="end"/>
          </w:r>
        </w:p>
        <w:p>
          <w:pPr>
            <w:pStyle w:val="14"/>
            <w:tabs>
              <w:tab w:val="right" w:pos="3600"/>
              <w:tab w:val="right" w:leader="dot" w:pos="8306"/>
            </w:tabs>
          </w:pPr>
          <w:r>
            <w:fldChar w:fldCharType="begin"/>
          </w:r>
          <w:r>
            <w:instrText xml:space="preserve"> HYPERLINK \l _Toc25051 </w:instrText>
          </w:r>
          <w:r>
            <w:fldChar w:fldCharType="separate"/>
          </w:r>
          <w:r>
            <w:rPr>
              <w:rFonts w:hint="eastAsia" w:ascii="宋体" w:hAnsi="宋体" w:eastAsia="宋体" w:cs="宋体"/>
              <w:bCs/>
            </w:rPr>
            <w:t>1.1.1研究背景</w:t>
          </w:r>
          <w:r>
            <w:tab/>
          </w:r>
          <w:r>
            <w:tab/>
          </w:r>
          <w:r>
            <w:fldChar w:fldCharType="begin"/>
          </w:r>
          <w:r>
            <w:instrText xml:space="preserve"> PAGEREF _Toc25051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_Toc32639 </w:instrText>
          </w:r>
          <w:r>
            <w:fldChar w:fldCharType="separate"/>
          </w:r>
          <w:r>
            <w:rPr>
              <w:rFonts w:hint="eastAsia" w:ascii="宋体" w:hAnsi="宋体" w:eastAsia="宋体" w:cs="宋体"/>
              <w:bCs/>
            </w:rPr>
            <w:t>1.1.2 市场分析和经济效益分析</w:t>
          </w:r>
          <w:r>
            <w:tab/>
          </w:r>
          <w:r>
            <w:fldChar w:fldCharType="begin"/>
          </w:r>
          <w:r>
            <w:instrText xml:space="preserve"> PAGEREF _Toc32639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_Toc18232 </w:instrText>
          </w:r>
          <w:r>
            <w:fldChar w:fldCharType="separate"/>
          </w:r>
          <w:r>
            <w:rPr>
              <w:rFonts w:hint="eastAsia" w:ascii="黑体" w:hAnsi="黑体" w:eastAsia="黑体" w:cs="黑体"/>
            </w:rPr>
            <w:t>1.2 国内外研究现状</w:t>
          </w:r>
          <w:r>
            <w:tab/>
          </w:r>
          <w:r>
            <w:fldChar w:fldCharType="begin"/>
          </w:r>
          <w:r>
            <w:instrText xml:space="preserve"> PAGEREF _Toc18232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_Toc8400 </w:instrText>
          </w:r>
          <w:r>
            <w:fldChar w:fldCharType="separate"/>
          </w:r>
          <w:r>
            <w:rPr>
              <w:rFonts w:hint="eastAsia" w:ascii="黑体" w:hAnsi="黑体" w:eastAsia="黑体" w:cs="黑体"/>
            </w:rPr>
            <w:t>1.3 设计目标</w:t>
          </w:r>
          <w:r>
            <w:tab/>
          </w:r>
          <w:r>
            <w:fldChar w:fldCharType="begin"/>
          </w:r>
          <w:r>
            <w:instrText xml:space="preserve"> PAGEREF _Toc8400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_Toc2484 </w:instrText>
          </w:r>
          <w:r>
            <w:fldChar w:fldCharType="separate"/>
          </w:r>
          <w:r>
            <w:rPr>
              <w:rFonts w:hint="eastAsia"/>
            </w:rPr>
            <w:t>2 实现方案</w:t>
          </w:r>
          <w:r>
            <w:tab/>
          </w:r>
          <w:r>
            <w:fldChar w:fldCharType="begin"/>
          </w:r>
          <w:r>
            <w:instrText xml:space="preserve"> PAGEREF _Toc2484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_Toc5682 </w:instrText>
          </w:r>
          <w:r>
            <w:fldChar w:fldCharType="separate"/>
          </w:r>
          <w:r>
            <w:rPr>
              <w:rFonts w:hint="eastAsia"/>
            </w:rPr>
            <w:t>2.1基本思路</w:t>
          </w:r>
          <w:r>
            <w:tab/>
          </w:r>
          <w:r>
            <w:fldChar w:fldCharType="begin"/>
          </w:r>
          <w:r>
            <w:instrText xml:space="preserve"> PAGEREF _Toc5682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_Toc25254 </w:instrText>
          </w:r>
          <w:r>
            <w:fldChar w:fldCharType="separate"/>
          </w:r>
          <w:r>
            <w:t xml:space="preserve">2.2 </w:t>
          </w:r>
          <w:r>
            <w:rPr>
              <w:rFonts w:hint="eastAsia"/>
            </w:rPr>
            <w:t>MindsporeAI开发框架</w:t>
          </w:r>
          <w:r>
            <w:tab/>
          </w:r>
          <w:r>
            <w:fldChar w:fldCharType="begin"/>
          </w:r>
          <w:r>
            <w:instrText xml:space="preserve"> PAGEREF _Toc25254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_Toc4400 </w:instrText>
          </w:r>
          <w:r>
            <w:fldChar w:fldCharType="separate"/>
          </w:r>
          <w:r>
            <w:rPr>
              <w:rFonts w:hint="eastAsia"/>
            </w:rPr>
            <w:t>2.</w:t>
          </w:r>
          <w:r>
            <w:t>3</w:t>
          </w:r>
          <w:r>
            <w:rPr>
              <w:rFonts w:hint="eastAsia"/>
            </w:rPr>
            <w:t>大语言模型推理</w:t>
          </w:r>
          <w:r>
            <w:tab/>
          </w:r>
          <w:r>
            <w:fldChar w:fldCharType="begin"/>
          </w:r>
          <w:r>
            <w:instrText xml:space="preserve"> PAGEREF _Toc4400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_Toc19670 </w:instrText>
          </w:r>
          <w:r>
            <w:fldChar w:fldCharType="separate"/>
          </w:r>
          <w:r>
            <w:rPr>
              <w:rFonts w:hint="eastAsia"/>
            </w:rPr>
            <w:t>2.</w:t>
          </w:r>
          <w:r>
            <w:t>4</w:t>
          </w:r>
          <w:r>
            <w:rPr>
              <w:rFonts w:hint="eastAsia"/>
            </w:rPr>
            <w:t>思维骨架进行长期推理和规划安排(SOT)</w:t>
          </w:r>
          <w:r>
            <w:tab/>
          </w:r>
          <w:r>
            <w:fldChar w:fldCharType="begin"/>
          </w:r>
          <w:r>
            <w:instrText xml:space="preserve"> PAGEREF _Toc19670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_Toc31560 </w:instrText>
          </w:r>
          <w:r>
            <w:fldChar w:fldCharType="separate"/>
          </w:r>
          <w:r>
            <w:rPr>
              <w:rFonts w:hint="eastAsia"/>
            </w:rPr>
            <w:t>2.</w:t>
          </w:r>
          <w:r>
            <w:t>5</w:t>
          </w:r>
          <w:r>
            <w:rPr>
              <w:rFonts w:hint="eastAsia"/>
            </w:rPr>
            <w:t>向量数据库</w:t>
          </w:r>
          <w:r>
            <w:tab/>
          </w:r>
          <w:r>
            <w:fldChar w:fldCharType="begin"/>
          </w:r>
          <w:r>
            <w:instrText xml:space="preserve"> PAGEREF _Toc31560 \h </w:instrText>
          </w:r>
          <w:r>
            <w:fldChar w:fldCharType="separate"/>
          </w:r>
          <w:r>
            <w:t>10</w:t>
          </w:r>
          <w:r>
            <w:fldChar w:fldCharType="end"/>
          </w:r>
          <w:r>
            <w:fldChar w:fldCharType="end"/>
          </w:r>
        </w:p>
        <w:p>
          <w:pPr>
            <w:pStyle w:val="13"/>
            <w:tabs>
              <w:tab w:val="right" w:leader="dot" w:pos="8306"/>
            </w:tabs>
          </w:pPr>
          <w:r>
            <w:fldChar w:fldCharType="begin"/>
          </w:r>
          <w:r>
            <w:instrText xml:space="preserve"> HYPERLINK \l _Toc26166 </w:instrText>
          </w:r>
          <w:r>
            <w:fldChar w:fldCharType="separate"/>
          </w:r>
          <w:r>
            <w:rPr>
              <w:rFonts w:hint="eastAsia"/>
            </w:rPr>
            <w:t>2.</w:t>
          </w:r>
          <w:r>
            <w:t>6</w:t>
          </w:r>
          <w:r>
            <w:rPr>
              <w:rFonts w:hint="eastAsia"/>
            </w:rPr>
            <w:t>语音识别模型</w:t>
          </w:r>
          <w:r>
            <w:tab/>
          </w:r>
          <w:r>
            <w:fldChar w:fldCharType="begin"/>
          </w:r>
          <w:r>
            <w:instrText xml:space="preserve"> PAGEREF _Toc26166 \h </w:instrText>
          </w:r>
          <w:r>
            <w:fldChar w:fldCharType="separate"/>
          </w:r>
          <w:r>
            <w:t>10</w:t>
          </w:r>
          <w:r>
            <w:fldChar w:fldCharType="end"/>
          </w:r>
          <w:r>
            <w:fldChar w:fldCharType="end"/>
          </w:r>
        </w:p>
        <w:p>
          <w:pPr>
            <w:pStyle w:val="13"/>
            <w:tabs>
              <w:tab w:val="right" w:leader="dot" w:pos="8306"/>
            </w:tabs>
          </w:pPr>
          <w:r>
            <w:fldChar w:fldCharType="begin"/>
          </w:r>
          <w:r>
            <w:instrText xml:space="preserve"> HYPERLINK \l _Toc13134 </w:instrText>
          </w:r>
          <w:r>
            <w:fldChar w:fldCharType="separate"/>
          </w:r>
          <w:r>
            <w:rPr>
              <w:rFonts w:hint="eastAsia"/>
            </w:rPr>
            <w:t>2.</w:t>
          </w:r>
          <w:r>
            <w:t>7</w:t>
          </w:r>
          <w:r>
            <w:rPr>
              <w:rFonts w:hint="eastAsia"/>
            </w:rPr>
            <w:t xml:space="preserve"> 文字转语音模型</w:t>
          </w:r>
          <w:r>
            <w:tab/>
          </w:r>
          <w:r>
            <w:fldChar w:fldCharType="begin"/>
          </w:r>
          <w:r>
            <w:instrText xml:space="preserve"> PAGEREF _Toc13134 \h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_Toc4174 </w:instrText>
          </w:r>
          <w:r>
            <w:fldChar w:fldCharType="separate"/>
          </w:r>
          <w:r>
            <w:rPr>
              <w:rFonts w:hint="eastAsia"/>
              <w:bCs/>
            </w:rPr>
            <w:t>2.</w:t>
          </w:r>
          <w:r>
            <w:rPr>
              <w:rFonts w:hint="eastAsia"/>
              <w:bCs/>
              <w:lang w:val="en-US" w:eastAsia="zh-CN"/>
            </w:rPr>
            <w:t>8</w:t>
          </w:r>
          <w:r>
            <w:rPr>
              <w:rFonts w:hint="eastAsia"/>
              <w:bCs/>
            </w:rPr>
            <w:t xml:space="preserve"> Gradio界面设计</w:t>
          </w:r>
          <w:r>
            <w:tab/>
          </w:r>
          <w:r>
            <w:fldChar w:fldCharType="begin"/>
          </w:r>
          <w:r>
            <w:instrText xml:space="preserve"> PAGEREF _Toc4174 \h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_Toc8871 </w:instrText>
          </w:r>
          <w:r>
            <w:fldChar w:fldCharType="separate"/>
          </w:r>
          <w:r>
            <w:rPr>
              <w:rFonts w:hint="eastAsia"/>
              <w:lang w:val="en-US" w:eastAsia="zh-CN"/>
            </w:rPr>
            <w:t>2.9 ModelArt数据平台</w:t>
          </w:r>
          <w:r>
            <w:tab/>
          </w:r>
          <w:r>
            <w:fldChar w:fldCharType="begin"/>
          </w:r>
          <w:r>
            <w:instrText xml:space="preserve"> PAGEREF _Toc8871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_Toc19714 </w:instrText>
          </w:r>
          <w:r>
            <w:fldChar w:fldCharType="separate"/>
          </w:r>
          <w:r>
            <w:rPr>
              <w:rFonts w:hint="eastAsia"/>
            </w:rPr>
            <w:t>3特色创新</w:t>
          </w:r>
          <w:r>
            <w:tab/>
          </w:r>
          <w:r>
            <w:fldChar w:fldCharType="begin"/>
          </w:r>
          <w:r>
            <w:instrText xml:space="preserve"> PAGEREF _Toc19714 \h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_Toc20845 </w:instrText>
          </w:r>
          <w:r>
            <w:fldChar w:fldCharType="separate"/>
          </w:r>
          <w:r>
            <w:rPr>
              <w:rFonts w:hint="eastAsia" w:ascii="黑体" w:hAnsi="黑体" w:eastAsia="黑体" w:cs="黑体"/>
            </w:rPr>
            <w:t>3</w:t>
          </w:r>
          <w:r>
            <w:rPr>
              <w:rFonts w:ascii="黑体" w:hAnsi="黑体" w:eastAsia="黑体" w:cs="黑体"/>
            </w:rPr>
            <w:t>.1</w:t>
          </w:r>
          <w:r>
            <w:rPr>
              <w:rFonts w:hint="eastAsia" w:ascii="黑体" w:hAnsi="黑体" w:eastAsia="黑体" w:cs="黑体"/>
            </w:rPr>
            <w:t>创新点</w:t>
          </w:r>
          <w:r>
            <w:tab/>
          </w:r>
          <w:r>
            <w:fldChar w:fldCharType="begin"/>
          </w:r>
          <w:r>
            <w:instrText xml:space="preserve"> PAGEREF _Toc20845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_Toc675 </w:instrText>
          </w:r>
          <w:r>
            <w:fldChar w:fldCharType="separate"/>
          </w:r>
          <w:r>
            <w:rPr>
              <w:rFonts w:hint="eastAsia"/>
            </w:rPr>
            <w:t>4 总结</w:t>
          </w:r>
          <w:r>
            <w:rPr>
              <w:rFonts w:hint="eastAsia"/>
              <w:lang w:eastAsia="zh-CN"/>
            </w:rPr>
            <w:t>与展望</w:t>
          </w:r>
          <w:r>
            <w:tab/>
          </w:r>
          <w:r>
            <w:fldChar w:fldCharType="begin"/>
          </w:r>
          <w:r>
            <w:instrText xml:space="preserve"> PAGEREF _Toc675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_Toc6347 </w:instrText>
          </w:r>
          <w:r>
            <w:fldChar w:fldCharType="separate"/>
          </w:r>
          <w:r>
            <w:rPr>
              <w:rFonts w:hint="eastAsia"/>
              <w:lang w:eastAsia="zh-CN"/>
            </w:rPr>
            <w:t>5 文献参考</w:t>
          </w:r>
          <w:r>
            <w:tab/>
          </w:r>
          <w:r>
            <w:fldChar w:fldCharType="begin"/>
          </w:r>
          <w:r>
            <w:instrText xml:space="preserve"> PAGEREF _Toc6347 \h </w:instrText>
          </w:r>
          <w:r>
            <w:fldChar w:fldCharType="separate"/>
          </w:r>
          <w:r>
            <w:t>14</w:t>
          </w:r>
          <w:r>
            <w:fldChar w:fldCharType="end"/>
          </w:r>
          <w:r>
            <w:fldChar w:fldCharType="end"/>
          </w:r>
        </w:p>
        <w:p>
          <w:r>
            <w:fldChar w:fldCharType="end"/>
          </w:r>
        </w:p>
      </w:sdtContent>
    </w:sdt>
    <w:p/>
    <w:p/>
    <w:p/>
    <w:p/>
    <w:p/>
    <w:p/>
    <w:p/>
    <w:p/>
    <w:p/>
    <w:p/>
    <w:p/>
    <w:p/>
    <w:p/>
    <w:p/>
    <w:p/>
    <w:p/>
    <w:p/>
    <w:p>
      <w:pPr>
        <w:pStyle w:val="2"/>
      </w:pPr>
      <w:bookmarkStart w:id="4" w:name="_Toc139"/>
      <w:bookmarkStart w:id="5" w:name="_Toc21586"/>
      <w:r>
        <w:rPr>
          <w:rFonts w:hint="eastAsia"/>
        </w:rPr>
        <w:t>1</w:t>
      </w:r>
      <w:r>
        <w:t xml:space="preserve"> </w:t>
      </w:r>
      <w:r>
        <w:rPr>
          <w:rFonts w:hint="eastAsia"/>
        </w:rPr>
        <w:t>设计方案</w:t>
      </w:r>
      <w:bookmarkEnd w:id="4"/>
      <w:bookmarkEnd w:id="5"/>
    </w:p>
    <w:p>
      <w:pPr>
        <w:pStyle w:val="3"/>
        <w:rPr>
          <w:rFonts w:ascii="黑体" w:hAnsi="黑体" w:eastAsia="黑体" w:cs="黑体"/>
        </w:rPr>
      </w:pPr>
      <w:bookmarkStart w:id="6" w:name="_Toc29293"/>
      <w:bookmarkStart w:id="7" w:name="_Toc14823"/>
      <w:r>
        <w:rPr>
          <w:rFonts w:hint="eastAsia" w:ascii="黑体" w:hAnsi="黑体" w:eastAsia="黑体" w:cs="黑体"/>
        </w:rPr>
        <w:t>1.1 需求分析</w:t>
      </w:r>
      <w:bookmarkEnd w:id="6"/>
      <w:bookmarkEnd w:id="7"/>
    </w:p>
    <w:p>
      <w:pPr>
        <w:tabs>
          <w:tab w:val="left" w:pos="397"/>
        </w:tabs>
        <w:spacing w:line="300" w:lineRule="auto"/>
        <w:ind w:left="420"/>
        <w:outlineLvl w:val="2"/>
        <w:rPr>
          <w:rFonts w:ascii="宋体" w:hAnsi="宋体" w:eastAsia="宋体" w:cs="宋体"/>
          <w:b/>
          <w:bCs/>
          <w:sz w:val="24"/>
        </w:rPr>
      </w:pPr>
      <w:bookmarkStart w:id="8" w:name="_Toc22983"/>
      <w:bookmarkStart w:id="9" w:name="_Toc25051"/>
      <w:bookmarkStart w:id="10" w:name="_Toc22812"/>
      <w:r>
        <w:rPr>
          <w:rFonts w:hint="eastAsia" w:ascii="宋体" w:hAnsi="宋体" w:eastAsia="宋体" w:cs="宋体"/>
          <w:b/>
          <w:bCs/>
          <w:sz w:val="24"/>
        </w:rPr>
        <w:t>1.1.1</w:t>
      </w:r>
      <w:r>
        <w:rPr>
          <w:rFonts w:hint="eastAsia" w:ascii="宋体" w:hAnsi="宋体" w:eastAsia="宋体" w:cs="宋体"/>
          <w:b/>
          <w:bCs/>
          <w:sz w:val="24"/>
        </w:rPr>
        <w:tab/>
      </w:r>
      <w:r>
        <w:rPr>
          <w:rFonts w:hint="eastAsia" w:ascii="宋体" w:hAnsi="宋体" w:eastAsia="宋体" w:cs="宋体"/>
          <w:b/>
          <w:bCs/>
          <w:sz w:val="24"/>
        </w:rPr>
        <w:t>研究背景</w:t>
      </w:r>
      <w:bookmarkEnd w:id="8"/>
      <w:bookmarkEnd w:id="9"/>
      <w:bookmarkEnd w:id="10"/>
    </w:p>
    <w:p>
      <w:pPr>
        <w:spacing w:line="300" w:lineRule="auto"/>
        <w:ind w:firstLine="480" w:firstLineChars="200"/>
        <w:rPr>
          <w:rFonts w:ascii="宋体" w:hAnsi="宋体" w:eastAsia="宋体" w:cs="宋体"/>
          <w:sz w:val="24"/>
        </w:rPr>
      </w:pPr>
      <w:r>
        <w:rPr>
          <w:rFonts w:hint="eastAsia" w:ascii="宋体" w:hAnsi="宋体" w:eastAsia="宋体" w:cs="宋体"/>
          <w:sz w:val="24"/>
        </w:rPr>
        <w:t>随着社会和科技的不断进步</w:t>
      </w:r>
      <w:r>
        <w:rPr>
          <w:rFonts w:hint="eastAsia"/>
          <w:sz w:val="24"/>
          <w:szCs w:val="24"/>
        </w:rPr>
        <w:t>，世界各地间的文化科技经济交流也愈来愈增强，掌握一门外语，对</w:t>
      </w:r>
      <w:r>
        <w:rPr>
          <w:rFonts w:ascii="宋体" w:hAnsi="宋体" w:eastAsia="宋体" w:cs="宋体"/>
          <w:sz w:val="24"/>
          <w:szCs w:val="24"/>
        </w:rPr>
        <w:t>促进经济全球化、文化交流，推动科技创新和教育合作</w:t>
      </w:r>
      <w:r>
        <w:rPr>
          <w:rFonts w:hint="eastAsia" w:ascii="宋体" w:hAnsi="宋体" w:eastAsia="宋体" w:cs="宋体"/>
          <w:sz w:val="24"/>
          <w:szCs w:val="24"/>
        </w:rPr>
        <w:t>起着十分重要的作用。近年来，随着国民素质的提高，大家都纷纷开始学习外语，第二语言掌握程度的比例也在逐年提高。然而，学习外语仍面临着成本高、学习曲线长、缺失行之有效的定制化路线等问题。该项目利用人工智能技术，结合大语言模型，构造一个可以给学生定制学习规划的外语家教，在</w:t>
      </w:r>
      <w:r>
        <w:rPr>
          <w:rFonts w:hint="eastAsia" w:ascii="宋体" w:hAnsi="宋体" w:eastAsia="宋体" w:cs="宋体"/>
          <w:sz w:val="24"/>
        </w:rPr>
        <w:t>人工智能服务领域方面具有重大价值。</w:t>
      </w:r>
    </w:p>
    <w:p>
      <w:pPr>
        <w:tabs>
          <w:tab w:val="left" w:pos="397"/>
        </w:tabs>
        <w:spacing w:line="300" w:lineRule="auto"/>
        <w:ind w:left="420"/>
        <w:outlineLvl w:val="2"/>
        <w:rPr>
          <w:rFonts w:ascii="宋体" w:hAnsi="宋体" w:eastAsia="宋体" w:cs="宋体"/>
          <w:b/>
          <w:bCs/>
          <w:sz w:val="24"/>
        </w:rPr>
      </w:pPr>
      <w:bookmarkStart w:id="11" w:name="_Toc6737"/>
      <w:bookmarkStart w:id="12" w:name="_Toc8208"/>
      <w:bookmarkStart w:id="13" w:name="_Toc32639"/>
      <w:r>
        <w:rPr>
          <w:rFonts w:hint="eastAsia" w:ascii="宋体" w:hAnsi="宋体" w:eastAsia="宋体" w:cs="宋体"/>
          <w:b/>
          <w:bCs/>
          <w:sz w:val="24"/>
        </w:rPr>
        <w:t>1.1.2 市场分析和经济效益分析</w:t>
      </w:r>
      <w:bookmarkEnd w:id="11"/>
      <w:bookmarkEnd w:id="12"/>
      <w:bookmarkEnd w:id="13"/>
    </w:p>
    <w:p>
      <w:pPr>
        <w:spacing w:line="300" w:lineRule="auto"/>
        <w:ind w:firstLine="480" w:firstLineChars="200"/>
        <w:rPr>
          <w:rFonts w:ascii="宋体" w:hAnsi="宋体" w:eastAsia="宋体" w:cs="宋体"/>
          <w:sz w:val="24"/>
        </w:rPr>
      </w:pPr>
      <w:r>
        <w:rPr>
          <w:rFonts w:hint="eastAsia" w:ascii="宋体" w:hAnsi="宋体" w:eastAsia="宋体" w:cs="宋体"/>
          <w:sz w:val="24"/>
        </w:rPr>
        <w:t>从我国英语学习市场规模来看，2023年预计达1072亿元，2024年预计达1196亿元，可见人工智能服务领域在该方面具有重大价值，增速较高且潜力巨大。</w:t>
      </w:r>
    </w:p>
    <w:p>
      <w:pPr>
        <w:spacing w:line="300" w:lineRule="auto"/>
        <w:ind w:firstLine="420" w:firstLineChars="200"/>
      </w:pPr>
      <w:r>
        <w:drawing>
          <wp:inline distT="0" distB="0" distL="114300" distR="114300">
            <wp:extent cx="5271770" cy="2806700"/>
            <wp:effectExtent l="0" t="0" r="1143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806700"/>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图1 市场预测图</w:t>
      </w:r>
    </w:p>
    <w:p>
      <w:pPr>
        <w:pStyle w:val="3"/>
        <w:rPr>
          <w:rFonts w:ascii="黑体" w:hAnsi="黑体" w:eastAsia="黑体" w:cs="黑体"/>
        </w:rPr>
      </w:pPr>
      <w:bookmarkStart w:id="14" w:name="_Toc14366"/>
      <w:bookmarkStart w:id="15" w:name="_Toc18232"/>
      <w:r>
        <w:rPr>
          <w:rFonts w:hint="eastAsia" w:ascii="黑体" w:hAnsi="黑体" w:eastAsia="黑体" w:cs="黑体"/>
        </w:rPr>
        <w:t>1.2 国内外研究现状</w:t>
      </w:r>
      <w:bookmarkEnd w:id="14"/>
      <w:bookmarkEnd w:id="15"/>
    </w:p>
    <w:p>
      <w:pPr>
        <w:ind w:firstLine="420"/>
        <w:rPr>
          <w:rFonts w:ascii="宋体" w:hAnsi="宋体" w:eastAsia="宋体" w:cs="宋体"/>
          <w:sz w:val="24"/>
          <w:szCs w:val="24"/>
        </w:rPr>
      </w:pPr>
      <w:r>
        <w:rPr>
          <w:rFonts w:hint="eastAsia" w:ascii="宋体" w:hAnsi="宋体" w:eastAsia="宋体" w:cs="宋体"/>
          <w:sz w:val="24"/>
          <w:szCs w:val="24"/>
        </w:rPr>
        <w:t>国外的学者早在2017年的时候就发现，所有的学生通过每周固定的阅读课和听力课，无</w:t>
      </w:r>
      <w:r>
        <w:rPr>
          <w:rFonts w:ascii="宋体" w:hAnsi="宋体" w:eastAsia="宋体" w:cs="宋体"/>
          <w:sz w:val="24"/>
          <w:szCs w:val="24"/>
        </w:rPr>
        <w:t>论是教学形式还是教学内容，都无法满足不同听说水平的学生的需求。这会导致学生们的学习</w:t>
      </w:r>
      <w:r>
        <w:rPr>
          <w:rFonts w:hint="eastAsia" w:ascii="宋体" w:hAnsi="宋体" w:eastAsia="宋体" w:cs="宋体"/>
          <w:sz w:val="24"/>
          <w:szCs w:val="24"/>
        </w:rPr>
        <w:t>外</w:t>
      </w:r>
      <w:r>
        <w:rPr>
          <w:rFonts w:ascii="宋体" w:hAnsi="宋体" w:eastAsia="宋体" w:cs="宋体"/>
          <w:sz w:val="24"/>
          <w:szCs w:val="24"/>
        </w:rPr>
        <w:t>语的积极性下降，成绩差的同学产生厌学的情绪。</w:t>
      </w:r>
      <w:r>
        <w:rPr>
          <w:rFonts w:hint="eastAsia" w:ascii="宋体" w:hAnsi="宋体" w:eastAsia="宋体" w:cs="宋体"/>
          <w:sz w:val="24"/>
          <w:szCs w:val="24"/>
        </w:rPr>
        <w:t>同时</w:t>
      </w:r>
      <w:r>
        <w:rPr>
          <w:rFonts w:ascii="宋体" w:hAnsi="宋体" w:eastAsia="宋体" w:cs="宋体"/>
          <w:sz w:val="24"/>
          <w:szCs w:val="24"/>
        </w:rPr>
        <w:t>也打击了教师教学的积极性。</w:t>
      </w:r>
    </w:p>
    <w:p>
      <w:pPr>
        <w:ind w:firstLine="420"/>
        <w:rPr>
          <w:rFonts w:ascii="宋体" w:hAnsi="宋体" w:eastAsia="宋体" w:cs="宋体"/>
          <w:sz w:val="24"/>
          <w:szCs w:val="24"/>
        </w:rPr>
      </w:pPr>
      <w:r>
        <w:rPr>
          <w:rFonts w:ascii="宋体" w:hAnsi="宋体" w:eastAsia="宋体" w:cs="宋体"/>
          <w:sz w:val="24"/>
          <w:szCs w:val="24"/>
        </w:rPr>
        <w:t>但是随着人工智能技术的发展，</w:t>
      </w:r>
      <w:r>
        <w:rPr>
          <w:rFonts w:hint="eastAsia" w:ascii="宋体" w:hAnsi="宋体" w:eastAsia="宋体" w:cs="宋体"/>
          <w:sz w:val="24"/>
          <w:szCs w:val="24"/>
        </w:rPr>
        <w:t>大语言模型可以通过</w:t>
      </w:r>
      <w:r>
        <w:rPr>
          <w:rFonts w:ascii="宋体" w:hAnsi="宋体" w:eastAsia="宋体" w:cs="宋体"/>
          <w:sz w:val="24"/>
          <w:szCs w:val="24"/>
        </w:rPr>
        <w:t>每一位同学的学习数据来指定符合每位同学的学习计划，并且指定相应的测试，从而有效提高学生的听说能力</w:t>
      </w:r>
      <w:r>
        <w:rPr>
          <w:rFonts w:hint="eastAsia" w:ascii="宋体" w:hAnsi="宋体" w:eastAsia="宋体" w:cs="宋体"/>
          <w:sz w:val="24"/>
          <w:szCs w:val="24"/>
        </w:rPr>
        <w:t>和写作能力</w:t>
      </w:r>
      <w:r>
        <w:rPr>
          <w:rFonts w:ascii="宋体" w:hAnsi="宋体" w:eastAsia="宋体" w:cs="宋体"/>
          <w:sz w:val="24"/>
          <w:szCs w:val="24"/>
        </w:rPr>
        <w:t>。</w:t>
      </w:r>
    </w:p>
    <w:p>
      <w:pPr>
        <w:ind w:firstLine="420"/>
        <w:rPr>
          <w:rFonts w:ascii="宋体" w:hAnsi="宋体" w:eastAsia="宋体" w:cs="宋体"/>
          <w:sz w:val="24"/>
          <w:szCs w:val="24"/>
        </w:rPr>
      </w:pPr>
      <w:r>
        <w:rPr>
          <w:rFonts w:hint="eastAsia" w:ascii="宋体" w:hAnsi="宋体" w:eastAsia="宋体" w:cs="宋体"/>
          <w:sz w:val="24"/>
          <w:szCs w:val="24"/>
        </w:rPr>
        <w:t>而在实际使用中，根据2022人工智能教育白皮书来看，教师整体也认可人工智能教学工具的价值，但受阻于相关产品的不成熟和系统培训的缺乏。受访教师对人工智能在教学中的应用较为满意，认为在教学中应用人工智能技术可以提高他们的教学自信心，但同时也反映在操作人工智能产品中遇到困难的问题。教师认为最阻碍在教学中有效应用人工智能技术的因素是缺乏成熟的智能产品以及配套的资源与服务。</w:t>
      </w:r>
    </w:p>
    <w:p>
      <w:pPr>
        <w:ind w:firstLine="420"/>
        <w:jc w:val="center"/>
      </w:pPr>
      <w:r>
        <w:drawing>
          <wp:inline distT="0" distB="0" distL="114300" distR="114300">
            <wp:extent cx="5387340" cy="3460750"/>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387340" cy="3460750"/>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图2 教育白皮书</w:t>
      </w:r>
    </w:p>
    <w:p>
      <w:pPr>
        <w:ind w:firstLine="420"/>
        <w:jc w:val="center"/>
      </w:pPr>
    </w:p>
    <w:p>
      <w:pPr>
        <w:ind w:firstLine="420"/>
        <w:rPr>
          <w:rFonts w:ascii="宋体" w:hAnsi="宋体" w:eastAsia="宋体" w:cs="宋体"/>
          <w:sz w:val="24"/>
          <w:szCs w:val="24"/>
        </w:rPr>
      </w:pPr>
      <w:r>
        <w:rPr>
          <w:rFonts w:ascii="宋体" w:hAnsi="宋体" w:eastAsia="宋体" w:cs="宋体"/>
          <w:sz w:val="24"/>
          <w:szCs w:val="24"/>
        </w:rPr>
        <w:t>学生普遍愿意使用人工智能学习工具，希望获得个性化评估与辅导。大部分受访学生都对人工智能教育持有积极的态度，愿意使用人工智能学习工具，并认为使用人工智能技术会促进学习。仅有不到一半的受访学生使用过人工智能学习工具辅助学习，使用过的学生则都能够利用人工智能学习工具自主获取所需要的学习资源，实现学习方式的多样化。</w:t>
      </w:r>
    </w:p>
    <w:p>
      <w:pPr>
        <w:ind w:firstLine="420"/>
        <w:rPr>
          <w:rFonts w:ascii="宋体" w:hAnsi="宋体" w:eastAsia="宋体" w:cs="宋体"/>
          <w:sz w:val="24"/>
          <w:szCs w:val="24"/>
        </w:rPr>
      </w:pPr>
    </w:p>
    <w:p>
      <w:pPr>
        <w:pStyle w:val="3"/>
        <w:rPr>
          <w:rFonts w:ascii="黑体" w:hAnsi="黑体" w:eastAsia="黑体" w:cs="黑体"/>
        </w:rPr>
      </w:pPr>
      <w:bookmarkStart w:id="16" w:name="_Toc1315"/>
      <w:bookmarkStart w:id="17" w:name="_Toc8400"/>
      <w:r>
        <w:rPr>
          <w:rFonts w:hint="eastAsia" w:ascii="黑体" w:hAnsi="黑体" w:eastAsia="黑体" w:cs="黑体"/>
        </w:rPr>
        <w:t>1.3 设计目标</w:t>
      </w:r>
      <w:bookmarkEnd w:id="16"/>
      <w:bookmarkEnd w:id="17"/>
    </w:p>
    <w:p>
      <w:pPr>
        <w:widowControl/>
        <w:spacing w:line="300" w:lineRule="auto"/>
        <w:ind w:firstLine="480" w:firstLineChars="200"/>
        <w:rPr>
          <w:rFonts w:ascii="宋体" w:hAnsi="宋体" w:eastAsia="宋体" w:cs="宋体"/>
          <w:color w:val="000000"/>
          <w:kern w:val="0"/>
          <w:sz w:val="24"/>
          <w:szCs w:val="24"/>
          <w:lang w:bidi="ar"/>
        </w:rPr>
      </w:pPr>
      <w:r>
        <w:rPr>
          <w:rFonts w:hint="eastAsia" w:ascii="宋体" w:hAnsi="宋体" w:cs="宋体"/>
          <w:color w:val="000000"/>
          <w:kern w:val="0"/>
          <w:sz w:val="24"/>
          <w:szCs w:val="24"/>
          <w:lang w:bidi="ar"/>
        </w:rPr>
        <w:t>针对学生学习外语所缺少系统性规划的问题，本项目</w:t>
      </w:r>
      <w:r>
        <w:rPr>
          <w:rFonts w:ascii="宋体" w:hAnsi="宋体" w:eastAsia="宋体" w:cs="宋体"/>
          <w:sz w:val="24"/>
          <w:szCs w:val="24"/>
        </w:rPr>
        <w:t>通过结合语音识别、大语言模型、思维骨架、向量记忆库和文字转语音模型等技术，该定制化家教系统能够为学生提供高效、个性化的外语学习支持。学生可以通过与系统的对话，不仅提高语言表达和听力能力，还能获得针对个人需求的学习计划和指导。该系统的独特功能和灵活性使其成为一种创新的学习工具，有望在提升学生外语学习效果和学习体验方面发挥积极作用。</w:t>
      </w:r>
      <w:r>
        <w:rPr>
          <w:rFonts w:hint="eastAsia" w:ascii="宋体" w:hAnsi="宋体" w:eastAsia="宋体" w:cs="宋体"/>
          <w:sz w:val="24"/>
          <w:szCs w:val="24"/>
        </w:rPr>
        <w:t>为</w:t>
      </w:r>
      <w:r>
        <w:rPr>
          <w:rFonts w:hint="eastAsia" w:ascii="宋体" w:hAnsi="宋体" w:eastAsia="宋体" w:cs="宋体"/>
          <w:b/>
          <w:bCs/>
          <w:sz w:val="24"/>
          <w:szCs w:val="24"/>
        </w:rPr>
        <w:t>老师</w:t>
      </w:r>
      <w:r>
        <w:rPr>
          <w:rFonts w:hint="eastAsia" w:ascii="宋体" w:hAnsi="宋体" w:eastAsia="宋体" w:cs="宋体"/>
          <w:sz w:val="24"/>
          <w:szCs w:val="24"/>
        </w:rPr>
        <w:t>提供学习规划参考，为</w:t>
      </w:r>
      <w:r>
        <w:rPr>
          <w:rFonts w:hint="eastAsia" w:ascii="宋体" w:hAnsi="宋体" w:eastAsia="宋体" w:cs="宋体"/>
          <w:b/>
          <w:bCs/>
          <w:sz w:val="24"/>
          <w:szCs w:val="24"/>
        </w:rPr>
        <w:t>学生</w:t>
      </w:r>
      <w:r>
        <w:rPr>
          <w:rFonts w:hint="eastAsia" w:ascii="宋体" w:hAnsi="宋体" w:eastAsia="宋体" w:cs="宋体"/>
          <w:sz w:val="24"/>
          <w:szCs w:val="24"/>
        </w:rPr>
        <w:t>提供优秀的外语练习服务。</w:t>
      </w:r>
    </w:p>
    <w:p/>
    <w:p>
      <w:pPr>
        <w:pStyle w:val="2"/>
      </w:pPr>
      <w:bookmarkStart w:id="18" w:name="_Toc2484"/>
      <w:bookmarkStart w:id="19" w:name="_Toc14541"/>
      <w:r>
        <w:rPr>
          <w:rFonts w:hint="eastAsia"/>
        </w:rPr>
        <w:t>2 实现方案</w:t>
      </w:r>
      <w:bookmarkEnd w:id="18"/>
      <w:bookmarkEnd w:id="19"/>
    </w:p>
    <w:p>
      <w:pPr>
        <w:pStyle w:val="3"/>
        <w:bidi w:val="0"/>
      </w:pPr>
      <w:bookmarkStart w:id="20" w:name="_Toc11385"/>
      <w:bookmarkStart w:id="21" w:name="_Toc28270"/>
      <w:bookmarkStart w:id="22" w:name="_Toc5682"/>
      <w:r>
        <w:rPr>
          <w:rFonts w:hint="eastAsia"/>
        </w:rPr>
        <w:t>2.1基本思路</w:t>
      </w:r>
      <w:bookmarkEnd w:id="20"/>
      <w:bookmarkEnd w:id="21"/>
      <w:bookmarkEnd w:id="22"/>
    </w:p>
    <w:p>
      <w:pPr>
        <w:widowControl/>
        <w:ind w:firstLine="480" w:firstLineChars="200"/>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针对学生学习外语所缺少系统性规划的问题，本项目</w:t>
      </w:r>
      <w:r>
        <w:rPr>
          <w:rFonts w:hint="eastAsia" w:ascii="宋体" w:hAnsi="宋体" w:eastAsia="宋体" w:cs="宋体"/>
          <w:sz w:val="24"/>
          <w:szCs w:val="24"/>
        </w:rPr>
        <w:t>通过结合语音识别、大语言模型、思维骨架、向量记忆库和文字转语音模型等技术，该定制化家教系统能够为学生提供高效、个性化的外语学习支持。学生可以通过与系统的对话，不仅提高语言表达和听力能力，还能获得针对个人需求的学习计划和指导。该系统的独特功能和灵活性使其成为一种创新的学习工具，有望在提升学生外语学习效果和学习体验方面发挥积极作用。为老师提供学习规划参考，为学生提供优秀的外语练习服务。</w:t>
      </w:r>
    </w:p>
    <w:p>
      <w:pPr>
        <w:widowControl/>
        <w:ind w:firstLine="480" w:firstLineChars="200"/>
        <w:rPr>
          <w:rFonts w:ascii="宋体" w:hAnsi="宋体" w:eastAsia="宋体" w:cs="宋体"/>
          <w:color w:val="000000"/>
          <w:kern w:val="0"/>
          <w:sz w:val="24"/>
          <w:szCs w:val="24"/>
          <w:lang w:bidi="ar"/>
        </w:rPr>
      </w:pPr>
      <w:r>
        <w:rPr>
          <w:rFonts w:hint="eastAsia" w:ascii="宋体" w:hAnsi="宋体" w:cs="宋体"/>
          <w:color w:val="000000"/>
          <w:kern w:val="0"/>
          <w:sz w:val="24"/>
          <w:szCs w:val="24"/>
          <w:lang w:bidi="ar"/>
        </w:rPr>
        <w:t>本项目使用新概念英语教材进行语料素材积累，使用思维骨架进行长期推理和规划安排，使用向量记忆库来实现学习记录，使用语音识别模型进行输入，文字转语音模型进行输出，实现对话。</w:t>
      </w:r>
    </w:p>
    <w:p>
      <w:pPr>
        <w:ind w:firstLine="420"/>
      </w:pPr>
      <w:r>
        <w:drawing>
          <wp:inline distT="0" distB="0" distL="114300" distR="114300">
            <wp:extent cx="3822700" cy="3305175"/>
            <wp:effectExtent l="0" t="0" r="0"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822700" cy="3305175"/>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图3 解决方案</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rPr>
          <w:rFonts w:hint="eastAsia"/>
          <w:lang w:val="en-US" w:eastAsia="zh-CN"/>
        </w:rPr>
      </w:pPr>
      <w:r>
        <w:rPr>
          <w:rFonts w:hint="eastAsia"/>
          <w:lang w:val="en-US" w:eastAsia="zh-CN"/>
        </w:rPr>
        <w:t>整体框架设计如下：</w:t>
      </w:r>
    </w:p>
    <w:p>
      <w:pPr>
        <w:ind w:firstLine="420"/>
      </w:pPr>
      <w:r>
        <w:drawing>
          <wp:inline distT="0" distB="0" distL="114300" distR="114300">
            <wp:extent cx="4589780" cy="1710690"/>
            <wp:effectExtent l="0" t="0" r="7620"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4589780" cy="1710690"/>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图4 流程图</w:t>
      </w:r>
    </w:p>
    <w:p>
      <w:pPr>
        <w:ind w:firstLine="420"/>
        <w:rPr>
          <w:rFonts w:hint="default"/>
          <w:lang w:val="en-US" w:eastAsia="zh-CN"/>
        </w:rPr>
      </w:pPr>
    </w:p>
    <w:p>
      <w:pPr>
        <w:pStyle w:val="3"/>
        <w:bidi w:val="0"/>
        <w:rPr>
          <w:rFonts w:hint="eastAsia"/>
        </w:rPr>
      </w:pPr>
      <w:bookmarkStart w:id="23" w:name="_Toc25254"/>
      <w:r>
        <w:t xml:space="preserve">2.2 </w:t>
      </w:r>
      <w:r>
        <w:rPr>
          <w:rFonts w:hint="eastAsia"/>
        </w:rPr>
        <w:t>MindsporeAI开发框架</w:t>
      </w:r>
      <w:bookmarkEnd w:id="23"/>
    </w:p>
    <w:p>
      <w:pPr>
        <w:ind w:firstLine="420"/>
        <w:rPr>
          <w:rFonts w:ascii="宋体" w:hAnsi="宋体" w:cs="宋体"/>
          <w:color w:val="000000"/>
          <w:kern w:val="0"/>
          <w:sz w:val="24"/>
          <w:szCs w:val="24"/>
          <w:lang w:bidi="ar"/>
        </w:rPr>
      </w:pPr>
      <w:r>
        <w:rPr>
          <w:rFonts w:hint="eastAsia" w:ascii="宋体" w:hAnsi="宋体" w:cs="宋体"/>
          <w:color w:val="000000"/>
          <w:kern w:val="0"/>
          <w:sz w:val="24"/>
          <w:szCs w:val="24"/>
          <w:lang w:bidi="ar"/>
        </w:rPr>
        <w:t>MindSpore是一个全场景深度学习框架，旨在实现易开发、高效执行、全场景覆盖三大目标，其中易开发表现为API友好、调试难度低，高效执行包括计算效率、数据预处理效率和分布式训练效率，全场景则指框架同时支持云、边缘以及端侧场景。</w:t>
      </w:r>
    </w:p>
    <w:p>
      <w:pPr>
        <w:ind w:firstLine="420"/>
        <w:rPr>
          <w:rFonts w:ascii="宋体" w:hAnsi="宋体" w:cs="宋体"/>
          <w:color w:val="000000"/>
          <w:kern w:val="0"/>
          <w:sz w:val="24"/>
          <w:szCs w:val="24"/>
          <w:lang w:bidi="ar"/>
        </w:rPr>
      </w:pPr>
      <w:r>
        <w:rPr>
          <w:rFonts w:hint="eastAsia" w:ascii="宋体" w:hAnsi="宋体" w:cs="宋体"/>
          <w:color w:val="000000"/>
          <w:kern w:val="0"/>
          <w:sz w:val="24"/>
          <w:szCs w:val="24"/>
          <w:lang w:bidi="ar"/>
        </w:rPr>
        <w:t>该项目基于MindSpore框架进行搭建，使用MindSpore开发高性能算子。华为MindSpore框架技术先进可行具有良好的研发应用生态。</w:t>
      </w:r>
    </w:p>
    <w:p>
      <w:pPr>
        <w:ind w:firstLine="420"/>
        <w:rPr>
          <w:rFonts w:hint="eastAsia" w:ascii="宋体" w:hAnsi="宋体" w:cs="宋体"/>
          <w:color w:val="000000"/>
          <w:kern w:val="0"/>
          <w:sz w:val="24"/>
          <w:szCs w:val="24"/>
          <w:lang w:bidi="ar"/>
        </w:rPr>
      </w:pPr>
    </w:p>
    <w:p>
      <w:pPr>
        <w:rPr>
          <w:rFonts w:hint="eastAsia" w:ascii="宋体" w:hAnsi="宋体" w:cs="宋体"/>
          <w:color w:val="000000"/>
          <w:kern w:val="0"/>
          <w:sz w:val="24"/>
          <w:szCs w:val="24"/>
          <w:lang w:bidi="ar"/>
        </w:rPr>
      </w:pPr>
      <w:bookmarkStart w:id="24" w:name="_Toc4400"/>
      <w:r>
        <w:rPr>
          <w:rStyle w:val="11"/>
          <w:rFonts w:hint="eastAsia"/>
        </w:rPr>
        <w:t>2.</w:t>
      </w:r>
      <w:r>
        <w:rPr>
          <w:rStyle w:val="11"/>
        </w:rPr>
        <w:t>3</w:t>
      </w:r>
      <w:r>
        <w:rPr>
          <w:rStyle w:val="11"/>
          <w:rFonts w:hint="eastAsia"/>
        </w:rPr>
        <w:t>大语言模型推理</w:t>
      </w:r>
      <w:bookmarkEnd w:id="24"/>
      <w:r>
        <w:rPr>
          <w:rFonts w:hint="eastAsia" w:ascii="黑体" w:hAnsi="黑体" w:eastAsia="黑体" w:cs="黑体"/>
          <w:b/>
          <w:bCs/>
          <w:sz w:val="28"/>
          <w:szCs w:val="28"/>
        </w:rPr>
        <w:br w:type="textWrapping"/>
      </w:r>
      <w:r>
        <w:rPr>
          <w:rFonts w:hint="eastAsia" w:ascii="黑体" w:hAnsi="黑体" w:eastAsia="黑体" w:cs="黑体"/>
          <w:b/>
          <w:bCs/>
          <w:sz w:val="28"/>
          <w:szCs w:val="28"/>
        </w:rPr>
        <w:tab/>
      </w:r>
      <w:r>
        <w:rPr>
          <w:rFonts w:hint="eastAsia" w:ascii="宋体" w:hAnsi="宋体" w:cs="宋体"/>
          <w:color w:val="000000"/>
          <w:kern w:val="0"/>
          <w:sz w:val="24"/>
          <w:szCs w:val="24"/>
          <w:lang w:bidi="ar"/>
        </w:rPr>
        <w:t>大语言模型是实现AI私人教师的基础，我们使用ModelScope社区提供的GPT-3模型</w:t>
      </w:r>
    </w:p>
    <w:p>
      <w:r>
        <w:drawing>
          <wp:inline distT="0" distB="0" distL="114300" distR="114300">
            <wp:extent cx="3392170" cy="4465320"/>
            <wp:effectExtent l="0" t="0" r="11430"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392170" cy="4465320"/>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图5 模型结构图</w:t>
      </w:r>
    </w:p>
    <w:p>
      <w:pPr>
        <w:rPr>
          <w:rFonts w:hint="eastAsia"/>
        </w:rPr>
      </w:pPr>
    </w:p>
    <w:p>
      <w:pPr>
        <w:pStyle w:val="3"/>
        <w:bidi w:val="0"/>
      </w:pPr>
      <w:bookmarkStart w:id="25" w:name="_Toc19670"/>
      <w:r>
        <w:rPr>
          <w:rFonts w:hint="eastAsia"/>
        </w:rPr>
        <w:t>2.</w:t>
      </w:r>
      <w:r>
        <w:t>4</w:t>
      </w:r>
      <w:r>
        <w:rPr>
          <w:rFonts w:hint="eastAsia"/>
        </w:rPr>
        <w:t>思维骨架进行长期推理和规划安排(SOT)</w:t>
      </w:r>
      <w:bookmarkEnd w:id="25"/>
    </w:p>
    <w:p>
      <w:pPr>
        <w:ind w:firstLine="420"/>
      </w:pPr>
      <w:r>
        <w:rPr>
          <w:rFonts w:hint="eastAsia"/>
        </w:rPr>
        <w:t>对于大语言模型的规划推理，我们打算使用LangChain开源库以及可视化的LangFlow开源库，搭建模型的思维骨架，实现多种功能的思考推理。同时，我们将设计并完善一个prompt系统，一步一步引导题型大语言模型完成长期推理和规划安排的任务，扮演好一个私人教师的角色。</w:t>
      </w:r>
    </w:p>
    <w:p>
      <w:r>
        <w:drawing>
          <wp:inline distT="0" distB="0" distL="114300" distR="114300">
            <wp:extent cx="5273040" cy="3295650"/>
            <wp:effectExtent l="0" t="0" r="3810" b="0"/>
            <wp:docPr id="6" name="图片 6" descr="langflow-demo_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ngflow-demo_252"/>
                    <pic:cNvPicPr>
                      <a:picLocks noChangeAspect="1"/>
                    </pic:cNvPicPr>
                  </pic:nvPicPr>
                  <pic:blipFill>
                    <a:blip r:embed="rId10"/>
                    <a:stretch>
                      <a:fillRect/>
                    </a:stretch>
                  </pic:blipFill>
                  <pic:spPr>
                    <a:xfrm>
                      <a:off x="0" y="0"/>
                      <a:ext cx="5273040" cy="3295650"/>
                    </a:xfrm>
                    <a:prstGeom prst="rect">
                      <a:avLst/>
                    </a:prstGeom>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图6 思维骨架</w:t>
      </w:r>
    </w:p>
    <w:p/>
    <w:p>
      <w:pPr>
        <w:pStyle w:val="3"/>
        <w:bidi w:val="0"/>
      </w:pPr>
      <w:bookmarkStart w:id="26" w:name="_Toc31560"/>
      <w:r>
        <w:rPr>
          <w:rFonts w:hint="eastAsia"/>
        </w:rPr>
        <w:t>2.</w:t>
      </w:r>
      <w:r>
        <w:t>5</w:t>
      </w:r>
      <w:r>
        <w:rPr>
          <w:rFonts w:hint="eastAsia"/>
        </w:rPr>
        <w:t>向量数据库</w:t>
      </w:r>
      <w:bookmarkEnd w:id="26"/>
    </w:p>
    <w:p>
      <w:pPr>
        <w:ind w:firstLine="420" w:firstLineChars="0"/>
      </w:pPr>
      <w:r>
        <w:rPr>
          <w:rFonts w:hint="eastAsia"/>
        </w:rPr>
        <w:t>我们使用Pinecone向量数据库对用户的信息、学习大纲和记录进行保存。Pinecone是一个支持云端的向量数据库服务，可以实现大语言模型的长期记忆。</w:t>
      </w:r>
    </w:p>
    <w:p>
      <w:pPr>
        <w:rPr>
          <w:rFonts w:hint="eastAsia"/>
        </w:rPr>
      </w:pPr>
      <w:r>
        <w:rPr>
          <w:rFonts w:hint="eastAsia"/>
        </w:rPr>
        <w:drawing>
          <wp:inline distT="0" distB="0" distL="114300" distR="114300">
            <wp:extent cx="5266690" cy="2578735"/>
            <wp:effectExtent l="0" t="0" r="10160" b="12065"/>
            <wp:docPr id="1" name="图片 1" descr="f36c7f8144e764dc95caee58d03d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36c7f8144e764dc95caee58d03d965"/>
                    <pic:cNvPicPr>
                      <a:picLocks noChangeAspect="1"/>
                    </pic:cNvPicPr>
                  </pic:nvPicPr>
                  <pic:blipFill>
                    <a:blip r:embed="rId11"/>
                    <a:stretch>
                      <a:fillRect/>
                    </a:stretch>
                  </pic:blipFill>
                  <pic:spPr>
                    <a:xfrm>
                      <a:off x="0" y="0"/>
                      <a:ext cx="5266690" cy="2578735"/>
                    </a:xfrm>
                    <a:prstGeom prst="rect">
                      <a:avLst/>
                    </a:prstGeom>
                  </pic:spPr>
                </pic:pic>
              </a:graphicData>
            </a:graphic>
          </wp:inline>
        </w:drawing>
      </w:r>
    </w:p>
    <w:p>
      <w:pPr>
        <w:spacing w:line="300" w:lineRule="auto"/>
        <w:ind w:firstLine="420" w:firstLineChars="200"/>
        <w:jc w:val="center"/>
        <w:rPr>
          <w:rFonts w:hint="eastAsia"/>
          <w:lang w:val="en-US" w:eastAsia="zh-CN"/>
        </w:rPr>
      </w:pPr>
      <w:r>
        <w:rPr>
          <w:rFonts w:hint="eastAsia"/>
          <w:lang w:val="en-US" w:eastAsia="zh-CN"/>
        </w:rPr>
        <w:t>图7 向量数据库</w:t>
      </w:r>
    </w:p>
    <w:p>
      <w:pPr>
        <w:spacing w:line="300" w:lineRule="auto"/>
        <w:ind w:firstLine="420" w:firstLineChars="200"/>
        <w:jc w:val="center"/>
        <w:rPr>
          <w:rFonts w:hint="eastAsia"/>
          <w:lang w:val="en-US" w:eastAsia="zh-CN"/>
        </w:rPr>
      </w:pPr>
    </w:p>
    <w:p>
      <w:pPr>
        <w:spacing w:line="300" w:lineRule="auto"/>
        <w:ind w:firstLine="420" w:firstLineChars="0"/>
        <w:jc w:val="both"/>
        <w:rPr>
          <w:rFonts w:hint="default"/>
          <w:lang w:val="en-US" w:eastAsia="zh-CN"/>
        </w:rPr>
      </w:pPr>
      <w:r>
        <w:rPr>
          <w:rFonts w:hint="eastAsia"/>
          <w:lang w:val="en-US" w:eastAsia="zh-CN"/>
        </w:rPr>
        <w:t>训练数据采用网上公开的英语教学视频，使用网络爬虫技术进行爬取。在将资源爬到本地后，将视频信息转为文字，再将其转为向量格式</w:t>
      </w:r>
      <w:bookmarkStart w:id="39" w:name="_GoBack"/>
      <w:bookmarkEnd w:id="39"/>
      <w:r>
        <w:rPr>
          <w:rFonts w:hint="eastAsia"/>
          <w:lang w:val="en-US" w:eastAsia="zh-CN"/>
        </w:rPr>
        <w:t>。</w:t>
      </w:r>
    </w:p>
    <w:p>
      <w:pPr>
        <w:rPr>
          <w:rFonts w:hint="eastAsia"/>
        </w:rPr>
      </w:pPr>
    </w:p>
    <w:p>
      <w:pPr>
        <w:pStyle w:val="3"/>
        <w:bidi w:val="0"/>
        <w:rPr>
          <w:rFonts w:hint="eastAsia"/>
        </w:rPr>
      </w:pPr>
      <w:bookmarkStart w:id="27" w:name="_Toc26166"/>
      <w:r>
        <w:rPr>
          <w:rFonts w:hint="eastAsia"/>
        </w:rPr>
        <w:t>2.</w:t>
      </w:r>
      <w:r>
        <w:t>6</w:t>
      </w:r>
      <w:r>
        <w:rPr>
          <w:rFonts w:hint="eastAsia"/>
        </w:rPr>
        <w:t>语音识别模型</w:t>
      </w:r>
      <w:bookmarkEnd w:id="27"/>
    </w:p>
    <w:p>
      <w:pPr>
        <w:ind w:firstLine="420"/>
        <w:rPr>
          <w:rFonts w:hint="eastAsia"/>
        </w:rPr>
      </w:pPr>
      <w:r>
        <w:rPr>
          <w:rFonts w:hint="eastAsia"/>
        </w:rPr>
        <w:t>Paraformer模型——达摩院语音团队提出的一种高效的非自回归端到端语音识别框架。模型采用工业级数万小时的标注音频进行模型训练，保证了模型的通用识别效果。模型可以被应用于语音输入法、语音导航、智能会议纪要等场景我们使用Paraformer模型对用户输入的语音进行文字识别，然后将识别的文字输入到大语言模型的对话中。</w:t>
      </w:r>
    </w:p>
    <w:p>
      <w:pPr>
        <w:ind w:firstLine="420"/>
      </w:pPr>
      <w:r>
        <w:drawing>
          <wp:inline distT="0" distB="0" distL="114300" distR="114300">
            <wp:extent cx="3956050" cy="2919730"/>
            <wp:effectExtent l="0" t="0" r="635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3956050" cy="2919730"/>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图8 Paraformer模型</w:t>
      </w:r>
    </w:p>
    <w:p/>
    <w:p>
      <w:pPr>
        <w:rPr>
          <w:rFonts w:hint="eastAsia"/>
        </w:rPr>
      </w:pPr>
    </w:p>
    <w:p>
      <w:pPr>
        <w:pStyle w:val="3"/>
        <w:bidi w:val="0"/>
      </w:pPr>
      <w:bookmarkStart w:id="28" w:name="_Toc13134"/>
      <w:r>
        <w:rPr>
          <w:rFonts w:hint="eastAsia"/>
        </w:rPr>
        <w:t>2.</w:t>
      </w:r>
      <w:r>
        <w:t>7</w:t>
      </w:r>
      <w:r>
        <w:rPr>
          <w:rFonts w:hint="eastAsia"/>
        </w:rPr>
        <w:t xml:space="preserve"> 文字转语音模型</w:t>
      </w:r>
      <w:bookmarkEnd w:id="28"/>
    </w:p>
    <w:p>
      <w:pPr>
        <w:ind w:firstLine="420"/>
        <w:rPr>
          <w:rFonts w:hint="eastAsia"/>
        </w:rPr>
      </w:pPr>
      <w:r>
        <w:rPr>
          <w:rFonts w:hint="eastAsia"/>
        </w:rPr>
        <w:t>SpeechT5——基于encoder-decoder结构的speech/text pre-training的方法，可实现如语音转换，自动语音识别，语音合成，说话人识别等功能。通过自监督预训练得到通用的表示，再用于下游任务成为新的范式。采用VITS文字转语音技术，来实现私人教师性化的语音输出。</w:t>
      </w:r>
    </w:p>
    <w:p>
      <w:pPr>
        <w:ind w:firstLine="420"/>
      </w:pPr>
      <w:r>
        <w:drawing>
          <wp:inline distT="0" distB="0" distL="114300" distR="114300">
            <wp:extent cx="4702175" cy="2288540"/>
            <wp:effectExtent l="0" t="0" r="9525" b="1016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4702175" cy="2288540"/>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图9 SpeechT5模型图</w:t>
      </w:r>
    </w:p>
    <w:p>
      <w:pPr>
        <w:ind w:firstLine="420"/>
        <w:rPr>
          <w:rFonts w:hint="eastAsia"/>
        </w:rPr>
      </w:pPr>
    </w:p>
    <w:p/>
    <w:p>
      <w:pPr>
        <w:rPr>
          <w:rFonts w:ascii="黑体" w:hAnsi="黑体" w:eastAsia="黑体" w:cs="黑体"/>
        </w:rPr>
      </w:pPr>
    </w:p>
    <w:p>
      <w:pPr>
        <w:rPr>
          <w:rFonts w:ascii="黑体" w:hAnsi="黑体" w:eastAsia="黑体" w:cs="黑体"/>
        </w:rPr>
      </w:pPr>
    </w:p>
    <w:p>
      <w:pPr>
        <w:rPr>
          <w:rFonts w:ascii="黑体" w:hAnsi="黑体" w:eastAsia="黑体" w:cs="黑体"/>
        </w:rPr>
      </w:pPr>
    </w:p>
    <w:p>
      <w:pPr>
        <w:pStyle w:val="3"/>
        <w:bidi w:val="0"/>
        <w:rPr>
          <w:b/>
          <w:bCs/>
        </w:rPr>
      </w:pPr>
      <w:bookmarkStart w:id="29" w:name="_Toc4174"/>
      <w:r>
        <w:rPr>
          <w:rFonts w:hint="eastAsia"/>
          <w:b/>
          <w:bCs/>
        </w:rPr>
        <w:t>2.</w:t>
      </w:r>
      <w:r>
        <w:rPr>
          <w:rFonts w:hint="eastAsia"/>
          <w:b/>
          <w:bCs/>
          <w:lang w:val="en-US" w:eastAsia="zh-CN"/>
        </w:rPr>
        <w:t>8</w:t>
      </w:r>
      <w:r>
        <w:rPr>
          <w:rFonts w:hint="eastAsia"/>
          <w:b/>
          <w:bCs/>
        </w:rPr>
        <w:t xml:space="preserve"> Gradio界面设计</w:t>
      </w:r>
      <w:bookmarkEnd w:id="29"/>
    </w:p>
    <w:p>
      <w:pPr>
        <w:ind w:firstLine="420"/>
        <w:rPr>
          <w:rFonts w:ascii="黑体" w:hAnsi="黑体" w:eastAsia="黑体" w:cs="黑体"/>
          <w:b/>
          <w:bCs/>
          <w:sz w:val="28"/>
          <w:szCs w:val="28"/>
        </w:rPr>
      </w:pPr>
      <w:r>
        <w:rPr>
          <w:rFonts w:hint="eastAsia"/>
        </w:rPr>
        <w:t>使用Gradio库实现最终的交互界面，以及后台推理过程的可视化输出界面。</w:t>
      </w:r>
    </w:p>
    <w:p>
      <w:r>
        <w:drawing>
          <wp:inline distT="0" distB="0" distL="114300" distR="114300">
            <wp:extent cx="5264785" cy="28517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4785" cy="2851785"/>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图10 Gradio界面图</w:t>
      </w:r>
    </w:p>
    <w:p/>
    <w:p/>
    <w:p>
      <w:pPr>
        <w:pStyle w:val="3"/>
        <w:bidi w:val="0"/>
        <w:rPr>
          <w:rFonts w:hint="eastAsia"/>
          <w:lang w:val="en-US" w:eastAsia="zh-CN"/>
        </w:rPr>
      </w:pPr>
      <w:bookmarkStart w:id="30" w:name="_Toc8871"/>
      <w:r>
        <w:rPr>
          <w:rFonts w:hint="eastAsia"/>
          <w:lang w:val="en-US" w:eastAsia="zh-CN"/>
        </w:rPr>
        <w:t>2.9 ModelArt数据平台</w:t>
      </w:r>
      <w:bookmarkEnd w:id="30"/>
    </w:p>
    <w:p>
      <w:r>
        <w:drawing>
          <wp:inline distT="0" distB="0" distL="114300" distR="114300">
            <wp:extent cx="5273675" cy="3194685"/>
            <wp:effectExtent l="0" t="0" r="9525" b="57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73675" cy="3194685"/>
                    </a:xfrm>
                    <a:prstGeom prst="rect">
                      <a:avLst/>
                    </a:prstGeom>
                    <a:noFill/>
                    <a:ln>
                      <a:noFill/>
                    </a:ln>
                  </pic:spPr>
                </pic:pic>
              </a:graphicData>
            </a:graphic>
          </wp:inline>
        </w:drawing>
      </w:r>
    </w:p>
    <w:p>
      <w:pPr>
        <w:spacing w:line="300" w:lineRule="auto"/>
        <w:ind w:firstLine="420" w:firstLineChars="200"/>
        <w:jc w:val="center"/>
        <w:rPr>
          <w:rFonts w:hint="default" w:eastAsiaTheme="minorEastAsia"/>
          <w:lang w:val="en-US" w:eastAsia="zh-CN"/>
        </w:rPr>
      </w:pPr>
      <w:r>
        <w:rPr>
          <w:rFonts w:hint="eastAsia"/>
          <w:lang w:val="en-US" w:eastAsia="zh-CN"/>
        </w:rPr>
        <w:t>图11 ModelArt</w:t>
      </w:r>
    </w:p>
    <w:p>
      <w:pPr>
        <w:ind w:firstLine="420" w:firstLineChars="0"/>
        <w:rPr>
          <w:rFonts w:hint="default" w:eastAsiaTheme="minorEastAsia"/>
          <w:lang w:val="en-US" w:eastAsia="zh-CN"/>
        </w:rPr>
      </w:pPr>
      <w:r>
        <w:rPr>
          <w:rFonts w:hint="eastAsia"/>
          <w:lang w:val="en-US" w:eastAsia="zh-CN"/>
        </w:rPr>
        <w:t>本项目</w:t>
      </w:r>
      <w:r>
        <w:rPr>
          <w:rFonts w:hint="eastAsia"/>
        </w:rPr>
        <w:t>使用ModelArt平台进行模型训练</w:t>
      </w:r>
      <w:r>
        <w:rPr>
          <w:rFonts w:hint="eastAsia"/>
          <w:lang w:val="en-US" w:eastAsia="zh-CN"/>
        </w:rPr>
        <w:t>与最终部署。</w:t>
      </w:r>
    </w:p>
    <w:p>
      <w:pPr>
        <w:rPr>
          <w:rFonts w:hint="default"/>
          <w:lang w:val="en-US" w:eastAsia="zh-CN"/>
        </w:rPr>
      </w:pPr>
    </w:p>
    <w:p>
      <w:pPr>
        <w:pStyle w:val="2"/>
      </w:pPr>
      <w:bookmarkStart w:id="31" w:name="_Toc30925"/>
      <w:bookmarkStart w:id="32" w:name="_Toc19714"/>
      <w:r>
        <w:rPr>
          <w:rFonts w:hint="eastAsia"/>
        </w:rPr>
        <w:t>3特色创新</w:t>
      </w:r>
      <w:bookmarkEnd w:id="31"/>
      <w:bookmarkEnd w:id="32"/>
    </w:p>
    <w:p>
      <w:pPr>
        <w:pStyle w:val="3"/>
        <w:rPr>
          <w:rFonts w:ascii="黑体" w:hAnsi="黑体" w:eastAsia="黑体" w:cs="黑体"/>
        </w:rPr>
      </w:pPr>
      <w:bookmarkStart w:id="33" w:name="_Toc22633"/>
      <w:bookmarkStart w:id="34" w:name="_Toc20845"/>
      <w:bookmarkStart w:id="35" w:name="_Toc7159"/>
      <w:bookmarkStart w:id="36" w:name="_Toc6810"/>
      <w:r>
        <w:rPr>
          <w:rFonts w:hint="eastAsia" w:ascii="黑体" w:hAnsi="黑体" w:eastAsia="黑体" w:cs="黑体"/>
        </w:rPr>
        <w:t>3</w:t>
      </w:r>
      <w:r>
        <w:rPr>
          <w:rFonts w:ascii="黑体" w:hAnsi="黑体" w:eastAsia="黑体" w:cs="黑体"/>
        </w:rPr>
        <w:t>.1</w:t>
      </w:r>
      <w:r>
        <w:rPr>
          <w:rFonts w:hint="eastAsia" w:ascii="黑体" w:hAnsi="黑体" w:eastAsia="黑体" w:cs="黑体"/>
        </w:rPr>
        <w:t>创新点</w:t>
      </w:r>
      <w:bookmarkEnd w:id="33"/>
      <w:bookmarkEnd w:id="34"/>
      <w:bookmarkEnd w:id="35"/>
    </w:p>
    <w:p>
      <w:pPr>
        <w:ind w:firstLine="420" w:firstLineChars="0"/>
        <w:rPr>
          <w:rFonts w:ascii="宋体" w:hAnsi="宋体" w:eastAsia="宋体" w:cs="宋体"/>
          <w:sz w:val="24"/>
          <w:szCs w:val="24"/>
        </w:rPr>
      </w:pPr>
      <w:r>
        <w:rPr>
          <w:rFonts w:ascii="宋体" w:hAnsi="宋体" w:eastAsia="宋体" w:cs="宋体"/>
          <w:b/>
          <w:bCs/>
          <w:sz w:val="24"/>
          <w:szCs w:val="24"/>
        </w:rPr>
        <w:t>定制化学习规划</w:t>
      </w:r>
      <w:r>
        <w:rPr>
          <w:rFonts w:hint="eastAsia" w:ascii="宋体" w:hAnsi="宋体" w:eastAsia="宋体" w:cs="宋体"/>
          <w:sz w:val="24"/>
          <w:szCs w:val="24"/>
        </w:rPr>
        <w:t>:</w:t>
      </w:r>
      <w:r>
        <w:rPr>
          <w:rFonts w:ascii="宋体" w:hAnsi="宋体" w:eastAsia="宋体" w:cs="宋体"/>
          <w:sz w:val="24"/>
          <w:szCs w:val="24"/>
        </w:rPr>
        <w:t>该系统能够根据学生的学习进展和目标，提供有针对性的建议和指导，为每位学生制定个性化的学习规划。这种定制化的学习规划有助于提高学习效率和成果，同时培养学生的自主学习能力</w:t>
      </w:r>
    </w:p>
    <w:p>
      <w:pPr>
        <w:ind w:firstLine="420" w:firstLineChars="0"/>
        <w:rPr>
          <w:rFonts w:ascii="宋体" w:hAnsi="宋体" w:eastAsia="宋体" w:cs="宋体"/>
          <w:sz w:val="24"/>
          <w:szCs w:val="24"/>
        </w:rPr>
      </w:pPr>
      <w:r>
        <w:rPr>
          <w:rFonts w:ascii="宋体" w:hAnsi="宋体" w:eastAsia="宋体" w:cs="宋体"/>
          <w:b/>
          <w:bCs/>
          <w:sz w:val="24"/>
          <w:szCs w:val="24"/>
        </w:rPr>
        <w:t>向量记忆库的应用</w:t>
      </w:r>
      <w:r>
        <w:rPr>
          <w:rFonts w:ascii="宋体" w:hAnsi="宋体" w:eastAsia="宋体" w:cs="宋体"/>
          <w:sz w:val="24"/>
          <w:szCs w:val="24"/>
        </w:rPr>
        <w:t>：系统通过记录学生的学习内容和进展情况，建立了向量记忆库，能够为学生提供个性化的学习反馈。这种记忆功能使学生能够更好地跟踪自己的学习进度，并与系统进行有意义的对话和互动，保持学习过程的连续性和一致性。</w:t>
      </w:r>
    </w:p>
    <w:p>
      <w:pPr>
        <w:ind w:firstLine="420" w:firstLineChars="0"/>
        <w:rPr>
          <w:rFonts w:ascii="宋体" w:hAnsi="宋体" w:eastAsia="宋体" w:cs="宋体"/>
          <w:sz w:val="24"/>
          <w:szCs w:val="24"/>
        </w:rPr>
      </w:pPr>
      <w:r>
        <w:rPr>
          <w:rFonts w:ascii="宋体" w:hAnsi="宋体" w:eastAsia="宋体" w:cs="宋体"/>
          <w:b/>
          <w:bCs/>
          <w:sz w:val="24"/>
          <w:szCs w:val="24"/>
        </w:rPr>
        <w:t>文字转语音模型</w:t>
      </w:r>
      <w:r>
        <w:rPr>
          <w:rFonts w:ascii="宋体" w:hAnsi="宋体" w:eastAsia="宋体" w:cs="宋体"/>
          <w:sz w:val="24"/>
          <w:szCs w:val="24"/>
        </w:rPr>
        <w:t>：系统采用文字转语音模型，将学习反馈和指导以语音形式输出，更加贴近学生的学习需求。这种自然对话的方式增强了学生与系统之间的沟通和理解，使学习过程更加互动和愉悦。</w:t>
      </w:r>
    </w:p>
    <w:p>
      <w:pPr>
        <w:ind w:firstLine="420" w:firstLineChars="0"/>
        <w:rPr>
          <w:rFonts w:ascii="宋体" w:hAnsi="宋体" w:eastAsia="宋体" w:cs="宋体"/>
          <w:sz w:val="24"/>
          <w:szCs w:val="24"/>
        </w:rPr>
      </w:pPr>
      <w:r>
        <w:rPr>
          <w:rFonts w:ascii="宋体" w:hAnsi="宋体" w:eastAsia="宋体" w:cs="宋体"/>
          <w:b/>
          <w:bCs/>
          <w:sz w:val="24"/>
          <w:szCs w:val="24"/>
        </w:rPr>
        <w:t>全面、个性化和互动性强的学习体验</w:t>
      </w:r>
      <w:r>
        <w:rPr>
          <w:rFonts w:ascii="宋体" w:hAnsi="宋体" w:eastAsia="宋体" w:cs="宋体"/>
          <w:sz w:val="24"/>
          <w:szCs w:val="24"/>
        </w:rPr>
        <w:t>：与传统真人家教和现有产品相比，该系统提供了更全面、个性化和互动性强的学习体验。学生可以根据自己的学习进展和目标获得有针对性的建议和指导，与系统进行有意义的对话和互动，同时获得以语音形式输出的学习反馈和指导。</w:t>
      </w:r>
    </w:p>
    <w:p>
      <w:pPr>
        <w:rPr>
          <w:rFonts w:ascii="宋体" w:hAnsi="宋体" w:eastAsia="宋体" w:cs="宋体"/>
          <w:sz w:val="24"/>
          <w:szCs w:val="24"/>
        </w:rPr>
      </w:pPr>
    </w:p>
    <w:p>
      <w:pPr>
        <w:ind w:firstLine="420" w:firstLineChars="0"/>
        <w:rPr>
          <w:rFonts w:ascii="宋体" w:hAnsi="宋体" w:eastAsia="宋体" w:cs="宋体"/>
          <w:sz w:val="24"/>
          <w:szCs w:val="24"/>
        </w:rPr>
      </w:pPr>
      <w:r>
        <w:rPr>
          <w:rFonts w:ascii="宋体" w:hAnsi="宋体" w:eastAsia="宋体" w:cs="宋体"/>
          <w:b/>
          <w:bCs/>
          <w:sz w:val="24"/>
          <w:szCs w:val="24"/>
        </w:rPr>
        <w:t>提升学生外语学习效果和学习体验</w:t>
      </w:r>
      <w:r>
        <w:rPr>
          <w:rFonts w:ascii="宋体" w:hAnsi="宋体" w:eastAsia="宋体" w:cs="宋体"/>
          <w:sz w:val="24"/>
          <w:szCs w:val="24"/>
        </w:rPr>
        <w:t>：这种创新的定制化家教系统有望在提升学生外语学习效果和学习体验方面发挥积极作用。通过个性化的学习规划、学习反馈和指导，以及互动性强的学习体验，学生可以更有效地提高学习效率和成果，培养自主学习能力，适应当今快速发展的时代需求。</w:t>
      </w:r>
    </w:p>
    <w:p>
      <w:pPr>
        <w:rPr>
          <w:rFonts w:ascii="黑体" w:hAnsi="黑体" w:eastAsia="黑体" w:cs="黑体"/>
        </w:rPr>
      </w:pPr>
    </w:p>
    <w:p>
      <w:pPr>
        <w:rPr>
          <w:rFonts w:ascii="黑体" w:hAnsi="黑体" w:eastAsia="黑体" w:cs="黑体"/>
        </w:rPr>
      </w:pPr>
    </w:p>
    <w:p>
      <w:pPr>
        <w:pStyle w:val="2"/>
        <w:bidi w:val="0"/>
        <w:rPr>
          <w:rFonts w:hint="eastAsia"/>
          <w:lang w:eastAsia="zh-CN"/>
        </w:rPr>
      </w:pPr>
      <w:bookmarkStart w:id="37" w:name="_Toc675"/>
      <w:r>
        <w:rPr>
          <w:rFonts w:hint="eastAsia"/>
        </w:rPr>
        <w:t>4 总结</w:t>
      </w:r>
      <w:bookmarkEnd w:id="36"/>
      <w:r>
        <w:rPr>
          <w:rFonts w:hint="eastAsia"/>
          <w:lang w:eastAsia="zh-CN"/>
        </w:rPr>
        <w:t>与展望</w:t>
      </w:r>
      <w:bookmarkEnd w:id="37"/>
    </w:p>
    <w:p>
      <w:pPr>
        <w:pStyle w:val="6"/>
        <w:widowControl/>
        <w:spacing w:beforeAutospacing="0" w:afterAutospacing="0"/>
        <w:ind w:firstLine="420"/>
      </w:pPr>
      <w:r>
        <w:rPr>
          <w:rFonts w:hint="eastAsia"/>
        </w:rPr>
        <w:t>在本次项目中，该系统可</w:t>
      </w:r>
      <w:r>
        <w:t>够根据学生的学习进展和目标，持续提供有针对性的建议和指导。这种定制化的学习规划有助于学生提高学习效率和成果，同时培养自主学习能力。与现有产品相比，该系统的独特之处在于其向量记忆库的应用。通过记录学生的学习内容和进展情况，系统能够为学生提供个性化的学习反馈，同时保持学习过程的连续性和一致性。这种记忆功能使得学生能够更好地跟踪自己的学习进度，并与系统进行有意义的对话和互动。</w:t>
      </w:r>
    </w:p>
    <w:p>
      <w:pPr>
        <w:pStyle w:val="6"/>
        <w:widowControl/>
        <w:spacing w:beforeAutospacing="0" w:afterAutospacing="0"/>
        <w:ind w:firstLine="420"/>
      </w:pPr>
      <w:r>
        <w:t>此外，系统还采用文字转语音模型，将学习反馈和指导以语音形式输出，更加贴近学生的学习需求。这种自然对话的方式使学习过程更加互动和愉悦，增强了学生与系统之间的沟通和理解。</w:t>
      </w:r>
    </w:p>
    <w:p>
      <w:pPr>
        <w:pStyle w:val="6"/>
        <w:widowControl/>
        <w:spacing w:beforeAutospacing="0" w:afterAutospacing="0"/>
        <w:ind w:firstLine="420"/>
      </w:pPr>
      <w:r>
        <w:t>综上所述，我们的定制化家教系统通过利用先进的人工智能技术，与传统真人家教和现有产品相比，提供了更全面、个性化和互动性强的学习体验。这种创新的学习工具有望在提升学生外语学习效果和学习体验方面发挥积极作用，并适应当今快速发展的时代需求。</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本项目通过人工智能和英语教育结合，开创了一种全新的英语学习模式</w:t>
      </w:r>
      <w:r>
        <w:rPr>
          <w:rFonts w:hint="eastAsia" w:ascii="宋体" w:hAnsi="宋体" w:eastAsia="宋体" w:cs="宋体"/>
          <w:sz w:val="24"/>
          <w:szCs w:val="24"/>
          <w:lang w:val="en-US" w:eastAsia="zh-CN"/>
        </w:rPr>
        <w:t>,</w:t>
      </w:r>
      <w:r>
        <w:rPr>
          <w:rFonts w:hint="eastAsia" w:ascii="宋体" w:hAnsi="宋体" w:eastAsia="宋体" w:cs="宋体"/>
          <w:sz w:val="24"/>
          <w:szCs w:val="24"/>
        </w:rPr>
        <w:t>对传统的学习方式带来了革新。本项目支持完全定制化、自适应的学习，学生可以不在遵从课本编排的固定的学习路线，而是根据自己的需求，优势劣势等条件决定自己的学习路线，使学习真正的个性化且高效率，而且基于大语言模型的应用可以自动调整学习内容和难度，以确保学生在学习过程中不会感到无聊或过于困难。这种自适应性可以提高学生的学习动机和积极性。</w:t>
      </w:r>
    </w:p>
    <w:p>
      <w:pPr>
        <w:ind w:firstLine="420" w:firstLineChars="0"/>
        <w:rPr>
          <w:rFonts w:hint="eastAsia" w:ascii="宋体" w:hAnsi="宋体" w:eastAsia="宋体" w:cs="宋体"/>
          <w:sz w:val="24"/>
          <w:szCs w:val="24"/>
        </w:rPr>
      </w:pPr>
      <w:r>
        <w:rPr>
          <w:rFonts w:hint="eastAsia" w:ascii="宋体" w:hAnsi="宋体" w:eastAsia="宋体" w:cs="宋体"/>
          <w:sz w:val="24"/>
          <w:szCs w:val="24"/>
        </w:rPr>
        <w:t>其次，本项目对于学生的学习体验也将会带来革新，学生能够在学习的过程中获得实时的体验，边交互边学习，通过实时反馈和频繁的交流提升自己的语言能力。</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最后，本项目颠覆了传统的多媒体教育模式，由多人一个教师配合多媒体辅助教育变为一人一个多媒体助教配合老师课上指点的模式进行英语教育，提升教育质量的同时降低了学生的学习成本和学校的教育成本，实现了双端的降本增效。</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本项目</w:t>
      </w:r>
      <w:r>
        <w:rPr>
          <w:rFonts w:hint="eastAsia" w:ascii="宋体" w:hAnsi="宋体" w:eastAsia="宋体" w:cs="宋体"/>
          <w:sz w:val="24"/>
          <w:szCs w:val="24"/>
        </w:rPr>
        <w:t>基于华为Mindspore框架、华为云计算等技术，可将该应用推广至多个领域，如医疗门诊、社区公共咨询、心理关怀；将语音交互与大模型结合，优势互补，实现有效的交互沟通以便随时调整学习方法路线；将向量数据库与大模型结合，有效解决了多轮次个性化对话问题，以进行长期学习辅导；</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个性化大语言模型英语学习家庭教师应用的开发将带来学习方式和体验的革命，为学生提供更加个性化和高效的学习机会，有助于提高英语学习的质量和普及程度。这种应用有望成为未来教育领域的一项创新举措，为学生和教育者带来更多的机会和益处。</w:t>
      </w:r>
    </w:p>
    <w:p>
      <w:pPr>
        <w:ind w:firstLine="420" w:firstLineChars="0"/>
        <w:rPr>
          <w:rFonts w:hint="eastAsia" w:ascii="宋体" w:hAnsi="宋体" w:eastAsia="宋体" w:cs="宋体"/>
          <w:sz w:val="24"/>
          <w:szCs w:val="24"/>
        </w:rPr>
      </w:pPr>
    </w:p>
    <w:p/>
    <w:p>
      <w:pPr>
        <w:pStyle w:val="2"/>
        <w:bidi w:val="0"/>
        <w:rPr>
          <w:rFonts w:hint="eastAsia"/>
          <w:lang w:eastAsia="zh-CN"/>
        </w:rPr>
      </w:pPr>
      <w:bookmarkStart w:id="38" w:name="_Toc6347"/>
      <w:r>
        <w:rPr>
          <w:rFonts w:hint="eastAsia"/>
          <w:lang w:eastAsia="zh-CN"/>
        </w:rPr>
        <w:t>5 文献参考</w:t>
      </w:r>
      <w:bookmarkEnd w:id="38"/>
    </w:p>
    <w:p>
      <w:pPr>
        <w:numPr>
          <w:ilvl w:val="0"/>
          <w:numId w:val="1"/>
        </w:numPr>
        <w:ind w:left="425" w:leftChars="0" w:hanging="425" w:firstLineChars="0"/>
        <w:rPr>
          <w:rFonts w:ascii="Segoe UI" w:hAnsi="Segoe UI" w:eastAsia="Segoe UI" w:cs="Segoe UI"/>
          <w:i w:val="0"/>
          <w:iCs w:val="0"/>
          <w:caps w:val="0"/>
          <w:color w:val="262625"/>
          <w:spacing w:val="0"/>
          <w:sz w:val="21"/>
          <w:szCs w:val="21"/>
          <w:shd w:val="clear" w:fill="FFFFFF"/>
        </w:rPr>
      </w:pPr>
      <w:r>
        <w:rPr>
          <w:rFonts w:ascii="Segoe UI" w:hAnsi="Segoe UI" w:eastAsia="Segoe UI" w:cs="Segoe UI"/>
          <w:i w:val="0"/>
          <w:iCs w:val="0"/>
          <w:caps w:val="0"/>
          <w:color w:val="262625"/>
          <w:spacing w:val="0"/>
          <w:sz w:val="21"/>
          <w:szCs w:val="21"/>
          <w:shd w:val="clear" w:fill="FFFFFF"/>
        </w:rPr>
        <w:t>吴砥, 李环和陈旭. 2023. 《人工智能通用大模型教育应用影响探析》. 开放教育研究 29 (02): 19-25+45.</w:t>
      </w:r>
    </w:p>
    <w:p>
      <w:pPr>
        <w:numPr>
          <w:ilvl w:val="0"/>
          <w:numId w:val="1"/>
        </w:numPr>
        <w:ind w:left="425" w:leftChars="0" w:hanging="425" w:firstLineChars="0"/>
        <w:rPr>
          <w:rFonts w:hint="eastAsia" w:ascii="Segoe UI" w:hAnsi="Segoe UI" w:eastAsia="Segoe UI" w:cs="Segoe UI"/>
          <w:i w:val="0"/>
          <w:iCs w:val="0"/>
          <w:caps w:val="0"/>
          <w:color w:val="262625"/>
          <w:spacing w:val="0"/>
          <w:sz w:val="21"/>
          <w:szCs w:val="21"/>
          <w:shd w:val="clear" w:fill="FFFFFF"/>
        </w:rPr>
      </w:pPr>
      <w:r>
        <w:rPr>
          <w:rFonts w:hint="eastAsia" w:ascii="Segoe UI" w:hAnsi="Segoe UI" w:eastAsia="Segoe UI" w:cs="Segoe UI"/>
          <w:i w:val="0"/>
          <w:iCs w:val="0"/>
          <w:caps w:val="0"/>
          <w:color w:val="262625"/>
          <w:spacing w:val="0"/>
          <w:sz w:val="21"/>
          <w:szCs w:val="21"/>
          <w:shd w:val="clear" w:fill="FFFFFF"/>
        </w:rPr>
        <w:t>Brown, TomB., Benjamin Mann, Nick Ryder, Melanie Subbiah, Jared Kaplan, Prafulla Dhariwal, Arvind Neelakantan, et al. 2020. “Language Models Are Few-Shot Learners.” arXiv: Computation and Language,arXiv: Computation and Language, May.</w:t>
      </w:r>
    </w:p>
    <w:p>
      <w:pPr>
        <w:numPr>
          <w:ilvl w:val="0"/>
          <w:numId w:val="1"/>
        </w:numPr>
        <w:ind w:left="425" w:leftChars="0" w:hanging="425" w:firstLineChars="0"/>
        <w:rPr>
          <w:rFonts w:hint="eastAsia" w:ascii="Segoe UI" w:hAnsi="Segoe UI" w:eastAsia="Segoe UI" w:cs="Segoe UI"/>
          <w:i w:val="0"/>
          <w:iCs w:val="0"/>
          <w:caps w:val="0"/>
          <w:color w:val="262625"/>
          <w:spacing w:val="0"/>
          <w:sz w:val="21"/>
          <w:szCs w:val="21"/>
          <w:shd w:val="clear" w:fill="FFFFFF"/>
        </w:rPr>
      </w:pPr>
      <w:r>
        <w:rPr>
          <w:rFonts w:ascii="Segoe UI" w:hAnsi="Segoe UI" w:eastAsia="Segoe UI" w:cs="Segoe UI"/>
          <w:i w:val="0"/>
          <w:iCs w:val="0"/>
          <w:caps w:val="0"/>
          <w:color w:val="262625"/>
          <w:spacing w:val="0"/>
          <w:sz w:val="21"/>
          <w:szCs w:val="21"/>
          <w:shd w:val="clear" w:fill="FFFFFF"/>
        </w:rPr>
        <w:t>Taipalus, Toni. 2023. “Vector Database Management Systems: Fundamental Concepts, Use-Cases, and Current Challenges,” September.</w:t>
      </w:r>
    </w:p>
    <w:p>
      <w:pPr>
        <w:numPr>
          <w:ilvl w:val="0"/>
          <w:numId w:val="1"/>
        </w:numPr>
        <w:ind w:left="425" w:leftChars="0" w:hanging="425" w:firstLineChars="0"/>
        <w:rPr>
          <w:rFonts w:hint="eastAsia" w:ascii="Segoe UI" w:hAnsi="Segoe UI" w:eastAsia="Segoe UI" w:cs="Segoe UI"/>
          <w:i w:val="0"/>
          <w:iCs w:val="0"/>
          <w:caps w:val="0"/>
          <w:color w:val="262625"/>
          <w:spacing w:val="0"/>
          <w:sz w:val="21"/>
          <w:szCs w:val="21"/>
          <w:shd w:val="clear" w:fill="FFFFFF"/>
        </w:rPr>
      </w:pPr>
      <w:r>
        <w:rPr>
          <w:rFonts w:ascii="Segoe UI" w:hAnsi="Segoe UI" w:eastAsia="Segoe UI" w:cs="Segoe UI"/>
          <w:i w:val="0"/>
          <w:iCs w:val="0"/>
          <w:caps w:val="0"/>
          <w:color w:val="262625"/>
          <w:spacing w:val="0"/>
          <w:sz w:val="21"/>
          <w:szCs w:val="21"/>
          <w:shd w:val="clear" w:fill="FFFFFF"/>
        </w:rPr>
        <w:t>Yang, Z., Dai, Z., Yang, Y., Carbonell, JaimeG., Salakhutdinov, R., &amp; Le, QuocV. (2019). XLNet: Generalized Autoregressive Pretraining for Language Understanding.</w:t>
      </w:r>
      <w:r>
        <w:rPr>
          <w:rFonts w:hint="default" w:ascii="Segoe UI" w:hAnsi="Segoe UI" w:eastAsia="Segoe UI" w:cs="Segoe UI"/>
          <w:i w:val="0"/>
          <w:iCs w:val="0"/>
          <w:caps w:val="0"/>
          <w:color w:val="262625"/>
          <w:spacing w:val="0"/>
          <w:sz w:val="21"/>
          <w:szCs w:val="21"/>
          <w:shd w:val="clear" w:fill="FFFFFF"/>
        </w:rPr>
        <w:t> </w:t>
      </w:r>
      <w:r>
        <w:rPr>
          <w:rFonts w:hint="default" w:ascii="Segoe UI" w:hAnsi="Segoe UI" w:eastAsia="Segoe UI" w:cs="Segoe UI"/>
          <w:i/>
          <w:iCs/>
          <w:caps w:val="0"/>
          <w:color w:val="262625"/>
          <w:spacing w:val="0"/>
          <w:sz w:val="21"/>
          <w:szCs w:val="21"/>
          <w:shd w:val="clear" w:fill="FFFFFF"/>
        </w:rPr>
        <w:t>Neural Information Processing Systems,Neural Information Processing Systems</w:t>
      </w:r>
      <w:r>
        <w:rPr>
          <w:rFonts w:hint="default" w:ascii="Segoe UI" w:hAnsi="Segoe UI" w:eastAsia="Segoe UI" w:cs="Segoe UI"/>
          <w:i w:val="0"/>
          <w:iCs w:val="0"/>
          <w:caps w:val="0"/>
          <w:color w:val="262625"/>
          <w:spacing w:val="0"/>
          <w:sz w:val="21"/>
          <w:szCs w:val="21"/>
          <w:shd w:val="clear" w:fill="FFFFFF"/>
        </w:rPr>
        <w:t>.</w:t>
      </w:r>
    </w:p>
    <w:p>
      <w:pPr>
        <w:numPr>
          <w:ilvl w:val="0"/>
          <w:numId w:val="1"/>
        </w:numPr>
        <w:ind w:left="425" w:leftChars="0" w:hanging="425" w:firstLineChars="0"/>
        <w:rPr>
          <w:rFonts w:hint="eastAsia" w:ascii="Segoe UI" w:hAnsi="Segoe UI" w:eastAsia="Segoe UI" w:cs="Segoe UI"/>
          <w:i w:val="0"/>
          <w:iCs w:val="0"/>
          <w:caps w:val="0"/>
          <w:color w:val="262625"/>
          <w:spacing w:val="0"/>
          <w:sz w:val="21"/>
          <w:szCs w:val="21"/>
          <w:shd w:val="clear" w:fill="FFFFFF"/>
        </w:rPr>
      </w:pPr>
      <w:r>
        <w:rPr>
          <w:rFonts w:hint="eastAsia" w:ascii="Segoe UI" w:hAnsi="Segoe UI" w:eastAsia="Segoe UI" w:cs="Segoe UI"/>
          <w:i w:val="0"/>
          <w:iCs w:val="0"/>
          <w:caps w:val="0"/>
          <w:color w:val="262625"/>
          <w:spacing w:val="0"/>
          <w:sz w:val="21"/>
          <w:szCs w:val="21"/>
          <w:shd w:val="clear" w:fill="FFFFFF"/>
        </w:rPr>
        <w:t>Xie, S., Raghunathan, A., Liang, P., &amp; Ma, T. (2021). An Explanation of In-context Learning as Implicit Bayesian Inference. Learning,Learning.</w:t>
      </w:r>
    </w:p>
    <w:p>
      <w:pPr>
        <w:numPr>
          <w:ilvl w:val="0"/>
          <w:numId w:val="1"/>
        </w:numPr>
        <w:ind w:left="425" w:leftChars="0" w:hanging="425" w:firstLineChars="0"/>
        <w:rPr>
          <w:rFonts w:hint="eastAsia" w:ascii="Segoe UI" w:hAnsi="Segoe UI" w:eastAsia="Segoe UI" w:cs="Segoe UI"/>
          <w:i w:val="0"/>
          <w:iCs w:val="0"/>
          <w:caps w:val="0"/>
          <w:color w:val="262625"/>
          <w:spacing w:val="0"/>
          <w:sz w:val="21"/>
          <w:szCs w:val="21"/>
          <w:shd w:val="clear" w:fill="FFFFFF"/>
        </w:rPr>
      </w:pPr>
      <w:r>
        <w:rPr>
          <w:rFonts w:ascii="Segoe UI" w:hAnsi="Segoe UI" w:eastAsia="Segoe UI" w:cs="Segoe UI"/>
          <w:i w:val="0"/>
          <w:iCs w:val="0"/>
          <w:caps w:val="0"/>
          <w:color w:val="262625"/>
          <w:spacing w:val="0"/>
          <w:sz w:val="21"/>
          <w:szCs w:val="21"/>
          <w:shd w:val="clear" w:fill="FFFFFF"/>
        </w:rPr>
        <w:t>Dun, C., Garcia, M., Zheng, G., Awadallah, A., Kyrillidis, A., &amp; Sim, R. (2023).</w:t>
      </w:r>
      <w:r>
        <w:rPr>
          <w:rFonts w:hint="default" w:ascii="Segoe UI" w:hAnsi="Segoe UI" w:eastAsia="Segoe UI" w:cs="Segoe UI"/>
          <w:i w:val="0"/>
          <w:iCs w:val="0"/>
          <w:caps w:val="0"/>
          <w:color w:val="262625"/>
          <w:spacing w:val="0"/>
          <w:sz w:val="21"/>
          <w:szCs w:val="21"/>
          <w:shd w:val="clear" w:fill="FFFFFF"/>
        </w:rPr>
        <w:t> </w:t>
      </w:r>
      <w:r>
        <w:rPr>
          <w:rFonts w:hint="default" w:ascii="Segoe UI" w:hAnsi="Segoe UI" w:eastAsia="Segoe UI" w:cs="Segoe UI"/>
          <w:i/>
          <w:iCs/>
          <w:caps w:val="0"/>
          <w:color w:val="262625"/>
          <w:spacing w:val="0"/>
          <w:sz w:val="21"/>
          <w:szCs w:val="21"/>
          <w:shd w:val="clear" w:fill="FFFFFF"/>
        </w:rPr>
        <w:t>Sweeping Heterogeneity with Smart MoPs: Mixture of Prompts for LLM Task Adaptation</w:t>
      </w:r>
      <w:r>
        <w:rPr>
          <w:rFonts w:hint="default" w:ascii="Segoe UI" w:hAnsi="Segoe UI" w:eastAsia="Segoe UI" w:cs="Segoe UI"/>
          <w:i w:val="0"/>
          <w:iCs w:val="0"/>
          <w:caps w:val="0"/>
          <w:color w:val="262625"/>
          <w:spacing w:val="0"/>
          <w:sz w:val="21"/>
          <w:szCs w:val="21"/>
          <w:shd w:val="clear" w:fill="FFFFFF"/>
        </w:rPr>
        <w:t>.</w:t>
      </w:r>
    </w:p>
    <w:p>
      <w:pPr>
        <w:rPr>
          <w:rFonts w:hint="eastAsia" w:ascii="Segoe UI" w:hAnsi="Segoe UI" w:eastAsia="Segoe UI" w:cs="Segoe UI"/>
          <w:i w:val="0"/>
          <w:iCs w:val="0"/>
          <w:caps w:val="0"/>
          <w:color w:val="262625"/>
          <w:spacing w:val="0"/>
          <w:sz w:val="14"/>
          <w:szCs w:val="14"/>
          <w:shd w:val="clear" w:fill="FFFFFF"/>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19D9A4"/>
    <w:multiLevelType w:val="singleLevel"/>
    <w:tmpl w:val="F219D9A4"/>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hjZWYzZGYxMWE2MWI1MTllMTRiZmI2NGExNTE1OWQifQ=="/>
  </w:docVars>
  <w:rsids>
    <w:rsidRoot w:val="1BFD5317"/>
    <w:rsid w:val="001E18F4"/>
    <w:rsid w:val="00515C5E"/>
    <w:rsid w:val="009032E6"/>
    <w:rsid w:val="00AF05D7"/>
    <w:rsid w:val="00CB640C"/>
    <w:rsid w:val="00E81F28"/>
    <w:rsid w:val="04722D72"/>
    <w:rsid w:val="0534627A"/>
    <w:rsid w:val="071E7B07"/>
    <w:rsid w:val="078132CC"/>
    <w:rsid w:val="10EC7A09"/>
    <w:rsid w:val="11C049F1"/>
    <w:rsid w:val="12771554"/>
    <w:rsid w:val="134A4EBA"/>
    <w:rsid w:val="141259D8"/>
    <w:rsid w:val="14761176"/>
    <w:rsid w:val="195F2D42"/>
    <w:rsid w:val="1B444F18"/>
    <w:rsid w:val="1BFD5317"/>
    <w:rsid w:val="1D3B7BAB"/>
    <w:rsid w:val="1E8F1635"/>
    <w:rsid w:val="295D54F0"/>
    <w:rsid w:val="2B770CEB"/>
    <w:rsid w:val="2C792640"/>
    <w:rsid w:val="2EF40BA8"/>
    <w:rsid w:val="34315AAE"/>
    <w:rsid w:val="34351FEC"/>
    <w:rsid w:val="37886EEC"/>
    <w:rsid w:val="39191D3B"/>
    <w:rsid w:val="3C4A6CF2"/>
    <w:rsid w:val="41F70F3F"/>
    <w:rsid w:val="44000AFA"/>
    <w:rsid w:val="45B478AB"/>
    <w:rsid w:val="46DB43EE"/>
    <w:rsid w:val="4B35377F"/>
    <w:rsid w:val="4F1F253F"/>
    <w:rsid w:val="50D6330E"/>
    <w:rsid w:val="519F6EE0"/>
    <w:rsid w:val="549037F2"/>
    <w:rsid w:val="56363D8F"/>
    <w:rsid w:val="5A5B3CCD"/>
    <w:rsid w:val="5D587A99"/>
    <w:rsid w:val="5FF4730D"/>
    <w:rsid w:val="60D13AF2"/>
    <w:rsid w:val="6BE02E3B"/>
    <w:rsid w:val="6CB86D23"/>
    <w:rsid w:val="6DC052EA"/>
    <w:rsid w:val="706A40AC"/>
    <w:rsid w:val="72825083"/>
    <w:rsid w:val="74D13318"/>
    <w:rsid w:val="74D379E1"/>
    <w:rsid w:val="755A3C5E"/>
    <w:rsid w:val="76283D5C"/>
    <w:rsid w:val="78EB53C3"/>
    <w:rsid w:val="7B6E0463"/>
    <w:rsid w:val="7BFE7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cstheme="majorBidi"/>
      <w:b/>
      <w:bCs/>
      <w:sz w:val="28"/>
      <w:szCs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unhideWhenUsed/>
    <w:qFormat/>
    <w:uiPriority w:val="99"/>
    <w:pPr>
      <w:tabs>
        <w:tab w:val="center" w:pos="4153"/>
        <w:tab w:val="right" w:pos="8306"/>
      </w:tabs>
      <w:snapToGrid w:val="0"/>
      <w:jc w:val="left"/>
    </w:pPr>
    <w:rPr>
      <w:sz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9">
    <w:name w:val="Strong"/>
    <w:basedOn w:val="8"/>
    <w:qFormat/>
    <w:uiPriority w:val="0"/>
    <w:rPr>
      <w:b/>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customStyle="1" w:styleId="11">
    <w:name w:val="标题 2 Char"/>
    <w:link w:val="3"/>
    <w:qFormat/>
    <w:uiPriority w:val="9"/>
    <w:rPr>
      <w:rFonts w:asciiTheme="majorHAnsi" w:hAnsiTheme="majorHAnsi" w:cstheme="majorBidi"/>
      <w:b/>
      <w:bCs/>
      <w:sz w:val="28"/>
      <w:szCs w:val="32"/>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632</Words>
  <Characters>3609</Characters>
  <Lines>30</Lines>
  <Paragraphs>8</Paragraphs>
  <TotalTime>9</TotalTime>
  <ScaleCrop>false</ScaleCrop>
  <LinksUpToDate>false</LinksUpToDate>
  <CharactersWithSpaces>4233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2023-09-30T13:13:00Z</dcterms:created>
  <dc:creator>丞锋</dc:creator>
  <cp:lastModifiedBy>丞锋</cp:lastModifiedBy>
  <dcterms:modified xsi:type="dcterms:W3CDTF">2023-10-05T13:15:55Z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53722D1123C1414381BFE20A92573C46_13</vt:lpwstr>
  </property>
</Properties>
</file>