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83042"/>
    <w:p w14:paraId="50ECE946"/>
    <w:p w14:paraId="1999D220"/>
    <w:p w14:paraId="42D6968B"/>
    <w:p w14:paraId="36CACCDB">
      <w:pPr>
        <w:jc w:val="center"/>
      </w:pPr>
      <w:r>
        <w:rPr>
          <w:rFonts w:ascii="Arial" w:hAnsi="Arial" w:eastAsia="黑体"/>
          <w:b/>
          <w:sz w:val="48"/>
        </w:rPr>
        <w:t>COMSOL流体力学仿真实验报告</w:t>
      </w:r>
    </w:p>
    <w:p w14:paraId="3D695B77">
      <w:pPr>
        <w:jc w:val="center"/>
      </w:pPr>
      <w:r>
        <w:rPr>
          <w:rFonts w:ascii="Times New Roman" w:hAnsi="Times New Roman" w:eastAsia="宋体"/>
          <w:sz w:val="30"/>
        </w:rPr>
        <w:t>工程流体力学 CFD软件入门</w:t>
      </w:r>
    </w:p>
    <w:p w14:paraId="1EC8FDE8"/>
    <w:p w14:paraId="2214EB3F"/>
    <w:p w14:paraId="14BE7FD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B98E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14E6D043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课程名称</w:t>
            </w:r>
          </w:p>
        </w:tc>
        <w:tc>
          <w:tcPr>
            <w:tcW w:w="4621" w:type="dxa"/>
            <w:vAlign w:val="center"/>
          </w:tcPr>
          <w:p w14:paraId="3B5A1D56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工程流体力学</w:t>
            </w:r>
          </w:p>
        </w:tc>
      </w:tr>
      <w:tr w14:paraId="50AE7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377E4EA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仿真软件</w:t>
            </w:r>
          </w:p>
        </w:tc>
        <w:tc>
          <w:tcPr>
            <w:tcW w:w="4621" w:type="dxa"/>
            <w:vAlign w:val="center"/>
          </w:tcPr>
          <w:p w14:paraId="29259D25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COMSOL Multiphysics</w:t>
            </w:r>
          </w:p>
        </w:tc>
      </w:tr>
      <w:tr w14:paraId="07713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4DB872BC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选做题目</w:t>
            </w:r>
          </w:p>
        </w:tc>
        <w:tc>
          <w:tcPr>
            <w:tcW w:w="4621" w:type="dxa"/>
            <w:vAlign w:val="center"/>
          </w:tcPr>
          <w:p w14:paraId="52577D4D">
            <w:r>
              <w:rPr>
                <w:rFonts w:ascii="Times New Roman" w:hAnsi="Times New Roman" w:eastAsia="宋体"/>
                <w:sz w:val="21"/>
              </w:rPr>
              <w:t>任务1 直管水流；任务2 扩张管油流；任务4 分叉管动量定律</w:t>
            </w:r>
          </w:p>
        </w:tc>
      </w:tr>
      <w:tr w14:paraId="55619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40B196A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w="4621" w:type="dxa"/>
            <w:vAlign w:val="center"/>
          </w:tcPr>
          <w:p w14:paraId="1F5DCF58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机电244</w:t>
            </w:r>
            <w:r>
              <w:rPr>
                <w:rFonts w:ascii="Times New Roman" w:hAnsi="Times New Roman" w:eastAsia="宋体"/>
                <w:b w:val="0"/>
                <w:sz w:val="21"/>
              </w:rPr>
              <w:t>________</w:t>
            </w:r>
          </w:p>
        </w:tc>
      </w:tr>
      <w:tr w14:paraId="05BA5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5B2230B8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w="4621" w:type="dxa"/>
            <w:vAlign w:val="center"/>
          </w:tcPr>
          <w:p w14:paraId="2936EF80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成广粮</w:t>
            </w:r>
            <w:r>
              <w:rPr>
                <w:rFonts w:ascii="Times New Roman" w:hAnsi="Times New Roman" w:eastAsia="宋体"/>
                <w:b w:val="0"/>
                <w:sz w:val="21"/>
              </w:rPr>
              <w:t>_________</w:t>
            </w:r>
          </w:p>
        </w:tc>
      </w:tr>
      <w:tr w14:paraId="65DD5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7DCA6785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w="4621" w:type="dxa"/>
            <w:vAlign w:val="center"/>
          </w:tcPr>
          <w:p w14:paraId="60A57B9E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________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240834</w:t>
            </w:r>
            <w:r>
              <w:rPr>
                <w:rFonts w:ascii="Times New Roman" w:hAnsi="Times New Roman" w:eastAsia="宋体"/>
                <w:b w:val="0"/>
                <w:sz w:val="21"/>
              </w:rPr>
              <w:t>________</w:t>
            </w:r>
          </w:p>
        </w:tc>
      </w:tr>
      <w:tr w14:paraId="29FD7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vAlign w:val="center"/>
          </w:tcPr>
          <w:p w14:paraId="314B830E">
            <w:pPr>
              <w:jc w:val="right"/>
            </w:pPr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w="4621" w:type="dxa"/>
            <w:vAlign w:val="center"/>
          </w:tcPr>
          <w:p w14:paraId="6FAC5A42"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2026年5月</w:t>
            </w:r>
          </w:p>
        </w:tc>
      </w:tr>
    </w:tbl>
    <w:p w14:paraId="55C1647E">
      <w:r>
        <w:br w:type="page"/>
      </w:r>
    </w:p>
    <w:p w14:paraId="07A9B7CC">
      <w:pPr>
        <w:pStyle w:val="3"/>
        <w:jc w:val="left"/>
        <w:rPr>
          <w:color w:val="auto"/>
        </w:rPr>
      </w:pPr>
      <w:r>
        <w:rPr>
          <w:rFonts w:ascii="Arial" w:hAnsi="Arial" w:eastAsia="黑体"/>
          <w:b/>
          <w:color w:val="auto"/>
          <w:sz w:val="32"/>
        </w:rPr>
        <w:t>一、实验目的</w:t>
      </w:r>
    </w:p>
    <w:p w14:paraId="428549EB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按作业要求，五个COMSOL仿真任务中至少选择三项完成。本报告整理了直管液体流动、扩张管液体流动和分叉管动量定律三个算例。三个模型都采用二维层流近似，入口给定速度，出口给定0 Pa压力，壁面设为无滑移。报告重点记录速度云图、出口流量和壁面受力结果。</w:t>
      </w:r>
    </w:p>
    <w:p w14:paraId="412EB2E8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通过这次建模，主要熟悉COMSOL中的几何绘制、材料选择、边界条件设置、网格划分、稳态求解和后处理流程，同时观察直管速度分布、扩张管降速，以及分叉流道里流量分配和动量作用力随入口速度变化的规律。</w:t>
      </w:r>
    </w:p>
    <w:p w14:paraId="7AE43C57">
      <w:pPr>
        <w:pStyle w:val="3"/>
        <w:jc w:val="left"/>
      </w:pPr>
      <w:r>
        <w:rPr>
          <w:rFonts w:ascii="Arial" w:hAnsi="Arial" w:eastAsia="黑体"/>
          <w:b/>
          <w:color w:val="auto"/>
          <w:sz w:val="32"/>
        </w:rPr>
        <w:t>二、仿真方法</w:t>
      </w:r>
    </w:p>
    <w:p w14:paraId="43CAD049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三个算例均采用二维层流物理场（spf）和稳态求解。流体按不可压缩牛顿流体处理，控制方程为连续方程和Navier-Stokes方程。入口给定法向速度，出口压力取0 Pa，固体壁面采用无滑移条件。网格使用自由三角形网格，求解后用速度云图和派生值积分查看结果。</w:t>
      </w:r>
    </w:p>
    <w:p w14:paraId="7A4428D6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二维模型得到的出口积分量单位为m^2/s，可理解为单位厚度下的流量。本次分叉管截图中先用速度大小spf.U做出口积分，这种做法能看出变化趋势，但严格的出口流量应使用法向速度通量。分叉管受力采用应力分量积分，截图中的表达式为-spf.T_stressx，单位为N/m。</w:t>
      </w:r>
    </w:p>
    <w:p w14:paraId="1EE71100">
      <w:pPr>
        <w:pStyle w:val="3"/>
        <w:jc w:val="left"/>
      </w:pPr>
      <w:r>
        <w:rPr>
          <w:rFonts w:ascii="Arial" w:hAnsi="Arial" w:eastAsia="黑体"/>
          <w:b/>
          <w:color w:val="auto"/>
          <w:sz w:val="32"/>
        </w:rPr>
        <w:t>三、任务1：直管内水流动</w:t>
      </w:r>
    </w:p>
    <w:p w14:paraId="389FA460">
      <w:pPr>
        <w:spacing w:after="120" w:line="300" w:lineRule="auto"/>
        <w:ind w:firstLine="420"/>
      </w:pPr>
      <w:r>
        <w:rPr>
          <w:rFonts w:ascii="Times New Roman" w:hAnsi="Times New Roman" w:eastAsia="宋体"/>
          <w:sz w:val="22"/>
        </w:rPr>
        <w:t>模型为长度100 mm、直径（二维中为通道高度）10 mm的直管，介质为水。入口速度设为1 m/s，出口压力为0 Pa，壁面为无滑移边界。</w:t>
      </w:r>
    </w:p>
    <w:p w14:paraId="21D5C4CC">
      <w:pPr>
        <w:jc w:val="center"/>
      </w:pPr>
      <w:r>
        <w:drawing>
          <wp:inline distT="0" distB="0" distL="114300" distR="114300">
            <wp:extent cx="5327650" cy="4389755"/>
            <wp:effectExtent l="0" t="0" r="635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1968">
      <w:pPr>
        <w:spacing w:after="160"/>
        <w:jc w:val="center"/>
      </w:pPr>
      <w:r>
        <w:rPr>
          <w:rFonts w:ascii="Times New Roman" w:hAnsi="Times New Roman" w:eastAsia="宋体"/>
          <w:color w:val="5A5A5A"/>
          <w:sz w:val="19"/>
        </w:rPr>
        <w:t>图1 直管水流速度大小云图</w:t>
      </w:r>
    </w:p>
    <w:p w14:paraId="4AAB97D8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图1中，直管内速度沿轴向变化不大。壁面附近速度接近0，中心区域速度较高，色标范围约为0-1.4 m/s。这种分布和管内层流的基本认识一致：壁面受无滑移条件限制，速度从壁面向中心逐渐增大。</w:t>
      </w:r>
    </w:p>
    <w:p w14:paraId="07A78C2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出口压力设为0 Pa后，流体在入口速度条件下通过管道。结果没有出现明显异常，说明直管模型的边界条件设置基本合理。</w:t>
      </w:r>
    </w:p>
    <w:p w14:paraId="513DB485">
      <w:pPr>
        <w:pStyle w:val="3"/>
        <w:jc w:val="left"/>
        <w:rPr>
          <w:color w:val="auto"/>
        </w:rPr>
      </w:pPr>
      <w:r>
        <w:rPr>
          <w:rFonts w:ascii="Arial" w:hAnsi="Arial" w:eastAsia="黑体"/>
          <w:b/>
          <w:color w:val="auto"/>
          <w:sz w:val="32"/>
        </w:rPr>
        <w:t>四、任务2：扩张管内油流动</w:t>
      </w:r>
    </w:p>
    <w:p w14:paraId="50BF9696">
      <w:pPr>
        <w:spacing w:after="120" w:line="300" w:lineRule="auto"/>
        <w:ind w:firstLine="420"/>
      </w:pPr>
      <w:r>
        <w:rPr>
          <w:rFonts w:ascii="Times New Roman" w:hAnsi="Times New Roman" w:eastAsia="宋体"/>
          <w:sz w:val="22"/>
        </w:rPr>
        <w:t>模型为长度100 mm的扩张管，入口直径10 mm，出口直径30 mm，介质选择Engine oil。入口速度为1 m/s，出口压力为0 Pa，壁面仍采用无滑移边界。</w:t>
      </w:r>
    </w:p>
    <w:p w14:paraId="517FFC4A">
      <w:pPr>
        <w:jc w:val="center"/>
      </w:pPr>
      <w:r>
        <w:drawing>
          <wp:inline distT="0" distB="0" distL="114300" distR="114300">
            <wp:extent cx="5327650" cy="4389755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F2A8">
      <w:pPr>
        <w:spacing w:after="160"/>
        <w:jc w:val="center"/>
      </w:pPr>
      <w:r>
        <w:rPr>
          <w:rFonts w:ascii="Times New Roman" w:hAnsi="Times New Roman" w:eastAsia="宋体"/>
          <w:color w:val="5A5A5A"/>
          <w:sz w:val="19"/>
        </w:rPr>
        <w:t>图2 扩张管油流速度大小云图</w:t>
      </w:r>
    </w:p>
    <w:p w14:paraId="05F31054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图2中，入口小截面处速度较高，进入扩张段后逐渐降低。出口大截面区域以蓝绿色为主，平均速度明显小于入口处。这个结果符合连续性方程：流量近似守恒时，过流面积增大，平均流速会下降。</w:t>
      </w:r>
    </w:p>
    <w:p w14:paraId="474FAE0D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扩张段内还能看到明显的横向速度差，壁面附近仍是低速区。和直管相比，扩张几何让速度场不再那么均匀，局部损失也更容易出现。</w:t>
      </w:r>
    </w:p>
    <w:p w14:paraId="0E6E2D51">
      <w:pPr>
        <w:pStyle w:val="3"/>
        <w:jc w:val="left"/>
      </w:pPr>
      <w:r>
        <w:rPr>
          <w:rFonts w:ascii="Arial" w:hAnsi="Arial" w:eastAsia="黑体"/>
          <w:b/>
          <w:color w:val="auto"/>
          <w:sz w:val="32"/>
        </w:rPr>
        <w:t>五、任务4：分叉管流动动量定律</w:t>
      </w:r>
    </w:p>
    <w:p w14:paraId="6E4F2583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本算例建立一个带倾斜入口和上下两个出口的二维分叉流道，介质为水。入口速度先取0.1 m/s，再改为0.2 m/s；两个出口均设置为压力出口，压力为0 Pa。截图中的出口流量来自边界积分，右侧壁面的作用力F来自应力积分。</w:t>
      </w:r>
    </w:p>
    <w:p w14:paraId="60C02C8C">
      <w:pPr>
        <w:jc w:val="center"/>
      </w:pPr>
      <w:r>
        <w:drawing>
          <wp:inline distT="0" distB="0" distL="114300" distR="114300">
            <wp:extent cx="5327650" cy="4389755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0EE9">
      <w:pPr>
        <w:spacing w:after="160"/>
        <w:jc w:val="center"/>
      </w:pPr>
      <w:r>
        <w:rPr>
          <w:rFonts w:ascii="Times New Roman" w:hAnsi="Times New Roman" w:eastAsia="宋体"/>
          <w:color w:val="5A5A5A"/>
          <w:sz w:val="19"/>
        </w:rPr>
        <w:t>图3 分叉管速度大小云图</w:t>
      </w:r>
    </w:p>
    <w:p w14:paraId="1CB68673">
      <w:pPr>
        <w:spacing w:after="120" w:line="300" w:lineRule="auto"/>
        <w:ind w:firstLine="420"/>
        <w:jc w:val="left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sz w:val="22"/>
        </w:rPr>
        <w:t>速度云图可以看出，入口斜管内速度较高，流体进入竖直主管后分成上下两股流出。分叉交汇处速度方向变化最明显，也是动量交换最集中的位置；靠近壁面的速度较低，说明无滑移条件起到了作用。</w:t>
      </w:r>
      <w:r>
        <w:rPr>
          <w:rFonts w:hint="eastAsia"/>
          <w:sz w:val="22"/>
          <w:lang w:eastAsia="zh-CN"/>
        </w:rPr>
        <w:t>（</w:t>
      </w:r>
      <w:r>
        <w:rPr>
          <w:rFonts w:hint="eastAsia" w:ascii="宋体" w:hAnsi="宋体" w:eastAsia="宋体" w:cs="宋体"/>
          <w:i/>
          <w:iCs/>
          <w:caps w:val="0"/>
          <w:color w:val="1A1C1F"/>
          <w:spacing w:val="0"/>
          <w:sz w:val="22"/>
          <w:szCs w:val="22"/>
          <w:shd w:val="clear" w:fill="FFFFFF"/>
        </w:rPr>
        <w:t>由于本模型为二维模型，出口流量为边界法向速度沿出口线的积分，单位为 m²/s，可理解为单位厚度下的体积流量。</w:t>
      </w:r>
      <w:r>
        <w:rPr>
          <w:rFonts w:hint="eastAsia"/>
          <w:sz w:val="22"/>
          <w:lang w:eastAsia="zh-CN"/>
        </w:rPr>
        <w:t>）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DD9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0A55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入口速度Vin (m/s)</w:t>
            </w:r>
          </w:p>
        </w:tc>
        <w:tc>
          <w:tcPr>
            <w:tcW w:w="18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D5F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出口1流量 (m^2/s)</w:t>
            </w:r>
          </w:p>
        </w:tc>
        <w:tc>
          <w:tcPr>
            <w:tcW w:w="18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1B1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出口2流量 (m^2/s)</w:t>
            </w:r>
          </w:p>
        </w:tc>
        <w:tc>
          <w:tcPr>
            <w:tcW w:w="18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D68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总出口流量 (m^2/s)</w:t>
            </w:r>
          </w:p>
        </w:tc>
        <w:tc>
          <w:tcPr>
            <w:tcW w:w="18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9E85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作用力F (N/m)</w:t>
            </w:r>
          </w:p>
        </w:tc>
      </w:tr>
      <w:tr w14:paraId="15A32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3BF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9DA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0.011509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2A5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0.014746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5EB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0.026255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642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7.1016</w:t>
            </w:r>
          </w:p>
        </w:tc>
      </w:tr>
      <w:tr w14:paraId="5EC7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5F9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BA0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0.023085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A1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0.029425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2CF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0.052510</w:t>
            </w:r>
          </w:p>
        </w:tc>
        <w:tc>
          <w:tcPr>
            <w:tcW w:w="18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82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29.144</w:t>
            </w:r>
          </w:p>
        </w:tc>
      </w:tr>
    </w:tbl>
    <w:p w14:paraId="6B951CDE"/>
    <w:p w14:paraId="369A589E">
      <w:pPr>
        <w:spacing w:after="160"/>
        <w:jc w:val="center"/>
      </w:pPr>
      <w:r>
        <w:rPr>
          <w:rFonts w:ascii="Times New Roman" w:hAnsi="Times New Roman" w:eastAsia="宋体"/>
          <w:color w:val="5A5A5A"/>
          <w:sz w:val="19"/>
        </w:rPr>
        <w:t>表1 分叉管不同入口速度下的出口流量和作用力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67359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66E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比较量</w:t>
            </w:r>
          </w:p>
        </w:tc>
        <w:tc>
          <w:tcPr>
            <w:tcW w:w="30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D5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0.2 m/s相对0.1 m/s的变化倍数</w:t>
            </w:r>
          </w:p>
        </w:tc>
        <w:tc>
          <w:tcPr>
            <w:tcW w:w="30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BD4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规律说明</w:t>
            </w:r>
          </w:p>
        </w:tc>
      </w:tr>
      <w:tr w14:paraId="7BA3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152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出口1流量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506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约2.01倍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20E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入口速度加倍，单位厚度流量近似加倍</w:t>
            </w:r>
          </w:p>
        </w:tc>
      </w:tr>
      <w:tr w14:paraId="2B533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5B1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出口2流量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03C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约2.00倍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D1A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出口2始终承担约56%的总流量</w:t>
            </w:r>
          </w:p>
        </w:tc>
      </w:tr>
      <w:tr w14:paraId="77F1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099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总出口流量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799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约2.00倍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BE1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满足连续性方程的线性流量关系</w:t>
            </w:r>
          </w:p>
        </w:tc>
      </w:tr>
      <w:tr w14:paraId="746A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BC4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作用力F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2F1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约4.10倍</w:t>
            </w:r>
          </w:p>
        </w:tc>
        <w:tc>
          <w:tcPr>
            <w:tcW w:w="30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2843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接近速度平方关系，符合动量通量随v^2变化的趋势</w:t>
            </w:r>
          </w:p>
        </w:tc>
      </w:tr>
    </w:tbl>
    <w:p w14:paraId="6A50BE06"/>
    <w:p w14:paraId="7F5F418D">
      <w:pPr>
        <w:spacing w:after="160"/>
        <w:jc w:val="center"/>
      </w:pPr>
      <w:r>
        <w:rPr>
          <w:rFonts w:ascii="Times New Roman" w:hAnsi="Times New Roman" w:eastAsia="宋体"/>
          <w:color w:val="5A5A5A"/>
          <w:sz w:val="19"/>
        </w:rPr>
        <w:t>表2 分叉管入口速度改变后的结果对比</w:t>
      </w:r>
    </w:p>
    <w:p w14:paraId="5B48C549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表1和表2显示，入口速度从0.1 m/s增大到0.2 m/s后，两个出口流量几乎同步加倍，总出口流量也接近加倍。出口2的流量略大于出口1，约占总流量的56%，这和分叉几何以及来流方向有关。</w:t>
      </w:r>
    </w:p>
    <w:p w14:paraId="3BD605B0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作用力F由7.1016 N/m增大到29.144 N/m，约为原来的4.10倍，接近速度平方关系。入口速度加倍时，动量通量明显增大，壁面受力也随之增加。这个趋势可以用来说明液体流动中的动量定律。</w:t>
      </w:r>
    </w:p>
    <w:p w14:paraId="1BF8F48E">
      <w:pPr>
        <w:spacing w:before="200" w:after="120"/>
        <w:jc w:val="left"/>
        <w:rPr>
          <w:rFonts w:hint="eastAsia" w:eastAsia="黑体"/>
          <w:lang w:eastAsia="zh-CN"/>
        </w:rPr>
      </w:pPr>
      <w:r>
        <w:rPr>
          <w:rFonts w:ascii="Arial" w:hAnsi="Arial" w:eastAsia="黑体"/>
          <w:b/>
          <w:sz w:val="26"/>
        </w:rPr>
        <w:t>任务4结果反思与优化</w:t>
      </w:r>
      <w:r>
        <w:rPr>
          <w:rFonts w:hint="eastAsia" w:ascii="Arial" w:hAnsi="Arial" w:eastAsia="黑体"/>
          <w:b/>
          <w:sz w:val="26"/>
          <w:lang w:eastAsia="zh-CN"/>
        </w:rPr>
        <w:t>（</w:t>
      </w:r>
      <w:r>
        <w:rPr>
          <w:rFonts w:hint="eastAsia" w:ascii="Arial" w:hAnsi="Arial" w:eastAsia="黑体"/>
          <w:b/>
          <w:sz w:val="26"/>
          <w:lang w:val="en-US" w:eastAsia="zh-CN"/>
        </w:rPr>
        <w:t>本部分结合AI进行分析反思</w:t>
      </w:r>
      <w:r>
        <w:rPr>
          <w:rFonts w:hint="eastAsia" w:ascii="Arial" w:hAnsi="Arial" w:eastAsia="黑体"/>
          <w:b/>
          <w:sz w:val="26"/>
          <w:lang w:eastAsia="zh-CN"/>
        </w:rPr>
        <w:t>）</w:t>
      </w:r>
    </w:p>
    <w:p w14:paraId="4A8D64C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从结果看，入口速度从0.1 m/s提高到0.2 m/s后，两个出口流量基本加倍，壁面作用力约增加到4.10倍。这个变化方向是合理的：流量主要随入口速度线性变化，而动量作用更接近速度平方关系。所以，现有结果可以说明动量定律的基本趋势。</w:t>
      </w:r>
    </w:p>
    <w:p w14:paraId="3673F52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不过，后处理还不够严谨。截图中出口流量用的是速度大小spf.U积分。若出口边界存在速度方向偏差或局部回流，速度大小会把所有分量都算成正值，结果可能偏大。更规范的做法是对出口边界积分法向速度通量，即u*nx+v*ny；在二维模型中，这个积分结果就是单位厚度下的体积流量。</w:t>
      </w:r>
    </w:p>
    <w:p w14:paraId="353EA880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几何尺度也需要交代清楚。第4题截图中的坐标单位为m，尺寸接近1 m量级。PPT虽然写着尺寸可自定，但如果报告不说明，读者容易把流量和受力当成某个实际管道的绝对值。后续可以把几何统一改成mm级，或者在报告中明确写成“二维单位厚度的对比模型”。</w:t>
      </w:r>
    </w:p>
    <w:p w14:paraId="3DC10BC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sz w:val="22"/>
        </w:rPr>
        <w:t>受力计算同样可以优化。本次F取右侧壁面的x方向应力积分，表达式为-spf.T_stressx，适合比较不同入口速度下的受力变化。如果要给出完整受力，还应同时计算y方向分量，或进一步给出合力大小，并在结果图中标出所选壁面。这样处理后，第4题不仅能看趋势，也更符合“动量定律验证”的要求。</w:t>
      </w:r>
    </w:p>
    <w:p w14:paraId="46464CCD">
      <w:pPr>
        <w:pStyle w:val="3"/>
        <w:spacing w:before="200" w:after="120"/>
        <w:jc w:val="left"/>
      </w:pPr>
      <w:r>
        <w:rPr>
          <w:rFonts w:ascii="Arial" w:hAnsi="Arial" w:eastAsia="黑体"/>
          <w:b/>
          <w:color w:val="auto"/>
          <w:sz w:val="26"/>
        </w:rPr>
        <w:t>六、结论</w:t>
      </w:r>
    </w:p>
    <w:p w14:paraId="3F22BFD2">
      <w:pPr>
        <w:spacing w:after="120" w:line="300" w:lineRule="auto"/>
        <w:ind w:left="227" w:firstLine="420"/>
        <w:jc w:val="left"/>
      </w:pPr>
      <w:r>
        <w:rPr>
          <w:rFonts w:ascii="Times New Roman" w:hAnsi="Times New Roman" w:eastAsia="宋体"/>
          <w:sz w:val="22"/>
        </w:rPr>
        <w:t>本次实验按“几何建模-材料设置-边界条件-网格划分-稳态求解-结果后处理”的流程完成了三个CFD算例。</w:t>
      </w:r>
    </w:p>
    <w:p w14:paraId="2B4DB314">
      <w:pPr>
        <w:spacing w:after="120" w:line="300" w:lineRule="auto"/>
        <w:ind w:left="227" w:firstLine="420"/>
        <w:jc w:val="left"/>
      </w:pPr>
      <w:r>
        <w:rPr>
          <w:rFonts w:ascii="Times New Roman" w:hAnsi="Times New Roman" w:eastAsia="宋体"/>
          <w:sz w:val="22"/>
        </w:rPr>
        <w:t>直管水流结果中，壁面速度接近0，中心区域速度较高，速度分布符合管内流动的基本特征。</w:t>
      </w:r>
    </w:p>
    <w:p w14:paraId="406F6D25">
      <w:pPr>
        <w:spacing w:after="120" w:line="300" w:lineRule="auto"/>
        <w:ind w:left="227" w:firstLine="420"/>
        <w:jc w:val="left"/>
      </w:pPr>
      <w:r>
        <w:rPr>
          <w:rFonts w:ascii="Times New Roman" w:hAnsi="Times New Roman" w:eastAsia="宋体"/>
          <w:sz w:val="22"/>
        </w:rPr>
        <w:t>扩张管油流结果中，截面积增大后平均速度下降，和连续性方程的判断一致。</w:t>
      </w:r>
    </w:p>
    <w:p w14:paraId="759532D9">
      <w:pPr>
        <w:spacing w:after="120" w:line="300" w:lineRule="auto"/>
        <w:ind w:left="227" w:firstLine="420"/>
        <w:jc w:val="left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分叉管结果中，入口速度加倍后两个出口流量接近加倍，壁面作用力约增大到4倍。这个趋势是合理的，但流量表达式和受力方向仍有进一步优化空间。</w:t>
      </w:r>
    </w:p>
    <w:p w14:paraId="42F03EEC">
      <w:pPr>
        <w:spacing w:after="120" w:line="300" w:lineRule="auto"/>
        <w:ind w:left="227" w:firstLine="420"/>
        <w:jc w:val="left"/>
        <w:rPr>
          <w:rFonts w:ascii="Times New Roman" w:hAnsi="Times New Roman" w:eastAsia="宋体"/>
          <w:sz w:val="22"/>
        </w:rPr>
      </w:pPr>
    </w:p>
    <w:p w14:paraId="55DA867B">
      <w:pPr>
        <w:pStyle w:val="3"/>
        <w:numPr>
          <w:ilvl w:val="0"/>
          <w:numId w:val="7"/>
        </w:numPr>
        <w:spacing w:before="200" w:after="120"/>
        <w:jc w:val="left"/>
        <w:rPr>
          <w:rFonts w:hint="eastAsia" w:ascii="Arial" w:hAnsi="Arial" w:eastAsia="黑体"/>
          <w:b/>
          <w:color w:val="auto"/>
          <w:sz w:val="26"/>
          <w:lang w:val="en-US" w:eastAsia="zh-CN"/>
        </w:rPr>
      </w:pPr>
      <w:r>
        <w:rPr>
          <w:rFonts w:hint="eastAsia" w:ascii="Arial" w:hAnsi="Arial" w:eastAsia="黑体"/>
          <w:b/>
          <w:color w:val="auto"/>
          <w:sz w:val="26"/>
          <w:lang w:val="en-US" w:eastAsia="zh-CN"/>
        </w:rPr>
        <w:t>原始图片</w:t>
      </w:r>
    </w:p>
    <w:p w14:paraId="57103C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4225" cy="3298825"/>
            <wp:effectExtent l="0" t="0" r="3175" b="6350"/>
            <wp:docPr id="12" name="图片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11" name="图片 11" descr="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10" name="图片 10" descr="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9" name="图片 9" descr="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.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1050" cy="3298825"/>
            <wp:effectExtent l="0" t="0" r="6350" b="6350"/>
            <wp:docPr id="8" name="图片 8" descr="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7" name="图片 7" descr="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6" name="图片 6" descr="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5" name="图片 5" descr="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.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67400" cy="3298825"/>
            <wp:effectExtent l="0" t="0" r="0" b="6350"/>
            <wp:docPr id="4" name="图片 4" descr="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.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02A">
      <w:pPr>
        <w:spacing w:after="120" w:line="300" w:lineRule="auto"/>
        <w:ind w:left="227" w:firstLine="420"/>
        <w:jc w:val="left"/>
        <w:rPr>
          <w:rFonts w:ascii="Times New Roman" w:hAnsi="Times New Roman" w:eastAsia="宋体"/>
          <w:sz w:val="22"/>
        </w:rPr>
      </w:pPr>
    </w:p>
    <w:p w14:paraId="38605272">
      <w:pPr>
        <w:spacing w:after="120" w:line="300" w:lineRule="auto"/>
        <w:ind w:firstLine="420"/>
        <w:jc w:val="left"/>
      </w:pPr>
    </w:p>
    <w:sectPr>
      <w:pgSz w:w="11906" w:h="16838"/>
      <w:pgMar w:top="1361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E220626"/>
    <w:multiLevelType w:val="singleLevel"/>
    <w:tmpl w:val="7E22062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402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07B0A"/>
    <w:rsid w:val="02B20C36"/>
    <w:rsid w:val="048E122E"/>
    <w:rsid w:val="06E25862"/>
    <w:rsid w:val="07124399"/>
    <w:rsid w:val="09287EA3"/>
    <w:rsid w:val="0D1129FD"/>
    <w:rsid w:val="11050ACA"/>
    <w:rsid w:val="15113EE2"/>
    <w:rsid w:val="151E215B"/>
    <w:rsid w:val="17A728DB"/>
    <w:rsid w:val="1D840FC9"/>
    <w:rsid w:val="1E032835"/>
    <w:rsid w:val="1E8079E2"/>
    <w:rsid w:val="2435301D"/>
    <w:rsid w:val="249D12EE"/>
    <w:rsid w:val="24A51F50"/>
    <w:rsid w:val="284321AC"/>
    <w:rsid w:val="28481571"/>
    <w:rsid w:val="29283150"/>
    <w:rsid w:val="2B703976"/>
    <w:rsid w:val="2C057779"/>
    <w:rsid w:val="2D0A14EA"/>
    <w:rsid w:val="2E734E6D"/>
    <w:rsid w:val="2FEE6EA1"/>
    <w:rsid w:val="31927D00"/>
    <w:rsid w:val="328F5FEE"/>
    <w:rsid w:val="335F3C12"/>
    <w:rsid w:val="35092088"/>
    <w:rsid w:val="355157DD"/>
    <w:rsid w:val="393671C3"/>
    <w:rsid w:val="3962620A"/>
    <w:rsid w:val="3A16374A"/>
    <w:rsid w:val="3CC1149A"/>
    <w:rsid w:val="3E1A70B4"/>
    <w:rsid w:val="3F1E0E25"/>
    <w:rsid w:val="45E06E35"/>
    <w:rsid w:val="460A5C60"/>
    <w:rsid w:val="48164D90"/>
    <w:rsid w:val="487D096B"/>
    <w:rsid w:val="48F549A5"/>
    <w:rsid w:val="49357497"/>
    <w:rsid w:val="4A804742"/>
    <w:rsid w:val="4CBB7CB4"/>
    <w:rsid w:val="4CBD1C7E"/>
    <w:rsid w:val="4E263853"/>
    <w:rsid w:val="512C2F2E"/>
    <w:rsid w:val="526E4FE9"/>
    <w:rsid w:val="53B11E10"/>
    <w:rsid w:val="561F7505"/>
    <w:rsid w:val="597E4543"/>
    <w:rsid w:val="5F5875E4"/>
    <w:rsid w:val="601B2AEB"/>
    <w:rsid w:val="601E082E"/>
    <w:rsid w:val="60870181"/>
    <w:rsid w:val="61932B55"/>
    <w:rsid w:val="62946B85"/>
    <w:rsid w:val="638210D3"/>
    <w:rsid w:val="65071890"/>
    <w:rsid w:val="65BA2DA7"/>
    <w:rsid w:val="679A69EC"/>
    <w:rsid w:val="6BCA3618"/>
    <w:rsid w:val="6D4F4B5D"/>
    <w:rsid w:val="74051691"/>
    <w:rsid w:val="741713C4"/>
    <w:rsid w:val="77170972"/>
    <w:rsid w:val="77862AE9"/>
    <w:rsid w:val="7C2E374F"/>
    <w:rsid w:val="7CA13F21"/>
    <w:rsid w:val="7F5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2269</Words>
  <Characters>2664</Characters>
  <Lines>0</Lines>
  <Paragraphs>0</Paragraphs>
  <TotalTime>61</TotalTime>
  <ScaleCrop>false</ScaleCrop>
  <LinksUpToDate>false</LinksUpToDate>
  <CharactersWithSpaces>2710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成广粮</cp:lastModifiedBy>
  <dcterms:modified xsi:type="dcterms:W3CDTF">2026-05-14T10:23:06Z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eyJoZGlkIjoiN2M2OGNkNTU3YmZmNzE1NjdiNjg3ZGEyODEwZTkwOTEiLCJ1c2VySWQiOiIxNjI4Nzc0NTI3In0=</vt:lpwstr>
  </property>
  <property fmtid="{D5CDD505-2E9C-101B-9397-08002B2CF9AE}" pid="3" name="KSOProductBuildVer">
    <vt:lpwstr>2052-12.1.0.25865</vt:lpwstr>
  </property>
  <property fmtid="{D5CDD505-2E9C-101B-9397-08002B2CF9AE}" pid="4" name="ICV">
    <vt:lpwstr>ABE88B07063241FCA00D52568C682E35_12</vt:lpwstr>
  </property>
</Properties>
</file>