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A76F0">
      <w:pPr>
        <w:jc w:val="center"/>
        <w:rPr>
          <w:rFonts w:ascii="黑体" w:eastAsia="黑体"/>
          <w:sz w:val="48"/>
          <w:szCs w:val="48"/>
        </w:rPr>
      </w:pPr>
      <w:r>
        <w:rPr>
          <w:rFonts w:hint="eastAsia" w:ascii="黑体" w:eastAsia="黑体"/>
          <w:sz w:val="48"/>
          <w:szCs w:val="48"/>
        </w:rPr>
        <w:t xml:space="preserve">《 </w:t>
      </w:r>
      <w:r>
        <w:fldChar w:fldCharType="begin"/>
      </w:r>
      <w:r>
        <w:instrText xml:space="preserve"> HYPERLINK "https://jwjs.hebut.edu.cn/teacher/personalSenate/giveLessonInfo/2020-2021-2-1/G4899E1210/02/true" \t "https://jwjs.hebut.edu.cn/teacher/personalSenate/giveLessonInfo/_black" </w:instrText>
      </w:r>
      <w:r>
        <w:fldChar w:fldCharType="separate"/>
      </w:r>
      <w:r>
        <w:rPr>
          <w:rFonts w:hint="eastAsia" w:ascii="黑体" w:eastAsia="黑体"/>
          <w:sz w:val="48"/>
          <w:szCs w:val="48"/>
        </w:rPr>
        <w:t>热工基础</w:t>
      </w:r>
      <w:r>
        <w:rPr>
          <w:rFonts w:hint="eastAsia" w:ascii="黑体" w:eastAsia="黑体"/>
          <w:sz w:val="48"/>
          <w:szCs w:val="48"/>
        </w:rPr>
        <w:fldChar w:fldCharType="end"/>
      </w:r>
      <w:r>
        <w:rPr>
          <w:rFonts w:hint="eastAsia" w:ascii="黑体" w:eastAsia="黑体"/>
          <w:sz w:val="48"/>
          <w:szCs w:val="48"/>
        </w:rPr>
        <w:t xml:space="preserve"> 》 课 程 报 告</w:t>
      </w:r>
    </w:p>
    <w:p w14:paraId="3D5CEA44">
      <w:pPr>
        <w:rPr>
          <w:szCs w:val="28"/>
        </w:rPr>
      </w:pPr>
      <w:r>
        <w:rPr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46355</wp:posOffset>
                </wp:positionV>
                <wp:extent cx="2410460" cy="388620"/>
                <wp:effectExtent l="4445" t="5080" r="13970" b="635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046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5DACA6">
                            <w:pPr>
                              <w:jc w:val="both"/>
                              <w:rPr>
                                <w:rFonts w:ascii="黑体" w:eastAsia="黑体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7pt;margin-top:3.65pt;height:30.6pt;width:189.8pt;z-index:251659264;mso-width-relative:page;mso-height-relative:page;" fillcolor="#FFFFFF" filled="t" stroked="t" coordsize="21600,21600" o:gfxdata="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xkeaD2AAAAAgBAAAPAAAAAAAAAAEAIAAAACIA&#10;AABkcnMvZG93bnJldi54bWxQSwECFAAUAAAACACHTuJA2eTqQgkCAAA4BAAADgAAAAAAAAABACAA&#10;AAAnAQAAZHJzL2Uyb0RvYy54bWxQSwUGAAAAAAYABgBZAQAAo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1B5DACA6">
                      <w:pPr>
                        <w:jc w:val="both"/>
                        <w:rPr>
                          <w:rFonts w:ascii="黑体" w:eastAsia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241935</wp:posOffset>
                </wp:positionV>
                <wp:extent cx="6057900" cy="0"/>
                <wp:effectExtent l="0" t="6350" r="0" b="762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9.05pt;height:0pt;width:477pt;z-index:251660288;mso-width-relative:page;mso-height-relative:page;" filled="f" stroked="t" coordsize="21600,21600" o:gfxdata="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R7&#10;c77VAAAABgEAAA8AAAAAAAAAAQAgAAAAIgAAAGRycy9kb3ducmV2LnhtbFBLAQIUABQAAAAIAIdO&#10;4kBQUaCN7QEAANsDAAAOAAAAAAAAAAEAIAAAACQBAABkcnMvZTJvRG9jLnhtbFBLBQYAAAAABgAG&#10;AFkBAACD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093F504">
      <w:pPr>
        <w:rPr>
          <w:szCs w:val="28"/>
        </w:rPr>
      </w:pPr>
    </w:p>
    <w:p w14:paraId="372B6AC7">
      <w:pPr>
        <w:rPr>
          <w:szCs w:val="28"/>
        </w:rPr>
      </w:pPr>
    </w:p>
    <w:p w14:paraId="17AC2358">
      <w:pPr>
        <w:rPr>
          <w:szCs w:val="28"/>
        </w:rPr>
      </w:pPr>
    </w:p>
    <w:p w14:paraId="41D4B2A6">
      <w:pPr>
        <w:rPr>
          <w:szCs w:val="28"/>
        </w:rPr>
      </w:pPr>
    </w:p>
    <w:p w14:paraId="17D64F51">
      <w:pPr>
        <w:rPr>
          <w:szCs w:val="28"/>
        </w:rPr>
      </w:pPr>
      <w:r>
        <w:rPr>
          <w:rFonts w:hint="eastAsia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184150</wp:posOffset>
                </wp:positionV>
                <wp:extent cx="5840730" cy="1235075"/>
                <wp:effectExtent l="4445" t="5080" r="12700" b="762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730" cy="1235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6FF9CBE">
                            <w:pPr>
                              <w:jc w:val="center"/>
                              <w:rPr>
                                <w:rFonts w:hint="eastAsia" w:ascii="华文中宋" w:hAnsi="华文中宋" w:eastAsia="华文中宋"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bCs/>
                                <w:sz w:val="44"/>
                                <w:szCs w:val="44"/>
                              </w:rPr>
                              <w:t>T型管的稳态热-流-固耦合仿真</w:t>
                            </w:r>
                          </w:p>
                          <w:p w14:paraId="172CD581">
                            <w:pPr>
                              <w:jc w:val="center"/>
                              <w:rPr>
                                <w:rFonts w:hint="eastAsia" w:ascii="华文中宋" w:hAnsi="华文中宋" w:eastAsia="华文中宋"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华文中宋" w:hAnsi="华文中宋" w:eastAsia="华文中宋"/>
                                <w:bCs/>
                                <w:sz w:val="44"/>
                                <w:szCs w:val="44"/>
                              </w:rPr>
                              <w:t>分析计算</w:t>
                            </w:r>
                          </w:p>
                        </w:txbxContent>
                      </wps:txbx>
                      <wps:bodyPr lIns="90000" tIns="45720" rIns="9000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4pt;margin-top:14.5pt;height:97.25pt;width:459.9pt;z-index:251663360;mso-width-relative:page;mso-height-relative:page;" fillcolor="#FFFFFF" filled="t" stroked="t" coordsize="21600,21600" o:gfxdata="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8w8F7WAAAA&#10;CQEAAA8AAAAAAAAAAQAgAAAAIgAAAGRycy9kb3ducmV2LnhtbFBLAQIUABQAAAAIAIdO4kDvfIVg&#10;HwIAAG0EAAAOAAAAAAAAAAEAIAAAACUBAABkcnMvZTJvRG9jLnhtbFBLBQYAAAAABgAGAFkBAAC2&#10;BQAAAAA=&#10;">
                <v:fill on="t" focussize="0,0"/>
                <v:stroke color="#FFFFFF" joinstyle="miter"/>
                <v:imagedata o:title=""/>
                <o:lock v:ext="edit" aspectratio="f"/>
                <v:textbox inset="2.5mm,1.27mm,2.5mm,1.27mm">
                  <w:txbxContent>
                    <w:p w14:paraId="06FF9CBE">
                      <w:pPr>
                        <w:jc w:val="center"/>
                        <w:rPr>
                          <w:rFonts w:hint="eastAsia" w:ascii="华文中宋" w:hAnsi="华文中宋" w:eastAsia="华文中宋"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bCs/>
                          <w:sz w:val="44"/>
                          <w:szCs w:val="44"/>
                        </w:rPr>
                        <w:t>T型管的稳态热-流-固耦合仿真</w:t>
                      </w:r>
                    </w:p>
                    <w:p w14:paraId="172CD581">
                      <w:pPr>
                        <w:jc w:val="center"/>
                        <w:rPr>
                          <w:rFonts w:hint="eastAsia" w:ascii="华文中宋" w:hAnsi="华文中宋" w:eastAsia="华文中宋"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华文中宋" w:hAnsi="华文中宋" w:eastAsia="华文中宋"/>
                          <w:bCs/>
                          <w:sz w:val="44"/>
                          <w:szCs w:val="44"/>
                        </w:rPr>
                        <w:t>分析计算</w:t>
                      </w:r>
                    </w:p>
                  </w:txbxContent>
                </v:textbox>
              </v:shape>
            </w:pict>
          </mc:Fallback>
        </mc:AlternateContent>
      </w:r>
    </w:p>
    <w:p w14:paraId="13AD9512">
      <w:pPr>
        <w:rPr>
          <w:szCs w:val="28"/>
        </w:rPr>
      </w:pPr>
    </w:p>
    <w:p w14:paraId="053C8153">
      <w:pPr>
        <w:rPr>
          <w:szCs w:val="28"/>
        </w:rPr>
      </w:pPr>
    </w:p>
    <w:p w14:paraId="7D39FFF3">
      <w:pPr>
        <w:rPr>
          <w:szCs w:val="28"/>
        </w:rPr>
      </w:pPr>
    </w:p>
    <w:p w14:paraId="351D1353">
      <w:pPr>
        <w:rPr>
          <w:szCs w:val="28"/>
        </w:rPr>
      </w:pPr>
    </w:p>
    <w:p w14:paraId="377B2F58">
      <w:pPr>
        <w:rPr>
          <w:szCs w:val="28"/>
        </w:rPr>
      </w:pPr>
    </w:p>
    <w:p w14:paraId="0BD414CB">
      <w:pPr>
        <w:rPr>
          <w:szCs w:val="28"/>
        </w:rPr>
      </w:pPr>
    </w:p>
    <w:p w14:paraId="622E70B5">
      <w:pPr>
        <w:rPr>
          <w:szCs w:val="28"/>
        </w:rPr>
      </w:pPr>
    </w:p>
    <w:p w14:paraId="2AA6BC1A">
      <w:pPr>
        <w:rPr>
          <w:szCs w:val="28"/>
        </w:rPr>
      </w:pPr>
    </w:p>
    <w:p w14:paraId="598AFDF2">
      <w:pPr>
        <w:rPr>
          <w:szCs w:val="28"/>
        </w:rPr>
      </w:pPr>
    </w:p>
    <w:p w14:paraId="443D1836">
      <w:pPr>
        <w:rPr>
          <w:szCs w:val="28"/>
        </w:rPr>
      </w:pPr>
    </w:p>
    <w:p w14:paraId="76D6ADA6">
      <w:pPr>
        <w:rPr>
          <w:szCs w:val="28"/>
        </w:rPr>
      </w:pPr>
    </w:p>
    <w:p w14:paraId="24D0B7EF">
      <w:pPr>
        <w:rPr>
          <w:szCs w:val="28"/>
        </w:rPr>
      </w:pPr>
    </w:p>
    <w:p w14:paraId="762D24C3">
      <w:pPr>
        <w:rPr>
          <w:szCs w:val="28"/>
        </w:rPr>
      </w:pPr>
    </w:p>
    <w:p w14:paraId="3CE83DFB">
      <w:pPr>
        <w:rPr>
          <w:szCs w:val="28"/>
        </w:rPr>
      </w:pPr>
    </w:p>
    <w:p w14:paraId="349EAAD0">
      <w:pPr>
        <w:rPr>
          <w:szCs w:val="28"/>
        </w:rPr>
      </w:pPr>
    </w:p>
    <w:p w14:paraId="460BC53B">
      <w:pPr>
        <w:rPr>
          <w:szCs w:val="28"/>
        </w:rPr>
      </w:pP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3871"/>
      </w:tblGrid>
      <w:tr w14:paraId="367082BC">
        <w:trPr>
          <w:trHeight w:val="634" w:hRule="atLeast"/>
          <w:jc w:val="center"/>
        </w:trPr>
        <w:tc>
          <w:tcPr>
            <w:tcW w:w="2209" w:type="dxa"/>
            <w:vAlign w:val="center"/>
          </w:tcPr>
          <w:p w14:paraId="4C9A2FD7">
            <w:pPr>
              <w:pStyle w:val="3"/>
              <w:spacing w:line="240" w:lineRule="auto"/>
              <w:jc w:val="center"/>
              <w:rPr>
                <w:rFonts w:hint="eastAsia" w:ascii="华文中宋" w:hAnsi="华文中宋" w:eastAsia="华文中宋"/>
                <w:sz w:val="32"/>
                <w:szCs w:val="32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</w:rPr>
              <w:t>学    院</w:t>
            </w:r>
          </w:p>
        </w:tc>
        <w:tc>
          <w:tcPr>
            <w:tcW w:w="3871" w:type="dxa"/>
            <w:vAlign w:val="center"/>
          </w:tcPr>
          <w:p w14:paraId="522A28EA">
            <w:pPr>
              <w:pStyle w:val="3"/>
              <w:spacing w:line="240" w:lineRule="auto"/>
              <w:jc w:val="center"/>
              <w:rPr>
                <w:rFonts w:hint="eastAsia" w:ascii="华文中宋" w:hAnsi="华文中宋" w:eastAsia="华文中宋"/>
                <w:sz w:val="32"/>
                <w:szCs w:val="32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</w:rPr>
              <w:t>机械工程学院</w:t>
            </w:r>
          </w:p>
        </w:tc>
      </w:tr>
      <w:tr w14:paraId="50266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209" w:type="dxa"/>
            <w:vAlign w:val="center"/>
          </w:tcPr>
          <w:p w14:paraId="15542517">
            <w:pPr>
              <w:pStyle w:val="3"/>
              <w:spacing w:line="240" w:lineRule="auto"/>
              <w:jc w:val="center"/>
              <w:rPr>
                <w:rFonts w:hint="eastAsia" w:ascii="华文中宋" w:hAnsi="华文中宋" w:eastAsia="华文中宋"/>
                <w:sz w:val="32"/>
                <w:szCs w:val="32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</w:rPr>
              <w:t>专    业</w:t>
            </w:r>
          </w:p>
        </w:tc>
        <w:tc>
          <w:tcPr>
            <w:tcW w:w="3871" w:type="dxa"/>
            <w:vAlign w:val="center"/>
          </w:tcPr>
          <w:p w14:paraId="581F9F12">
            <w:pPr>
              <w:pStyle w:val="3"/>
              <w:spacing w:line="240" w:lineRule="auto"/>
              <w:jc w:val="center"/>
              <w:rPr>
                <w:rFonts w:hint="default" w:ascii="华文中宋" w:hAnsi="华文中宋" w:eastAsia="华文中宋"/>
                <w:sz w:val="32"/>
                <w:szCs w:val="32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  <w:lang w:val="en-US" w:eastAsia="zh-CN"/>
              </w:rPr>
              <w:t>机械电子工程</w:t>
            </w:r>
          </w:p>
        </w:tc>
      </w:tr>
      <w:tr w14:paraId="5E0AB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209" w:type="dxa"/>
            <w:vAlign w:val="center"/>
          </w:tcPr>
          <w:p w14:paraId="6D29BB15">
            <w:pPr>
              <w:pStyle w:val="3"/>
              <w:spacing w:line="240" w:lineRule="auto"/>
              <w:jc w:val="center"/>
              <w:rPr>
                <w:rFonts w:hint="eastAsia" w:ascii="华文中宋" w:hAnsi="华文中宋" w:eastAsia="华文中宋"/>
                <w:sz w:val="32"/>
                <w:szCs w:val="32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</w:rPr>
              <w:t>班    级</w:t>
            </w:r>
          </w:p>
        </w:tc>
        <w:tc>
          <w:tcPr>
            <w:tcW w:w="3871" w:type="dxa"/>
            <w:vAlign w:val="center"/>
          </w:tcPr>
          <w:p w14:paraId="74FB0C10">
            <w:pPr>
              <w:pStyle w:val="3"/>
              <w:spacing w:line="240" w:lineRule="auto"/>
              <w:jc w:val="center"/>
              <w:rPr>
                <w:rFonts w:hint="default" w:ascii="华文中宋" w:hAnsi="华文中宋" w:eastAsia="华文中宋"/>
                <w:sz w:val="32"/>
                <w:szCs w:val="32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  <w:lang w:val="en-US" w:eastAsia="zh-CN"/>
              </w:rPr>
              <w:t>机电244</w:t>
            </w:r>
          </w:p>
        </w:tc>
      </w:tr>
      <w:tr w14:paraId="112E9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209" w:type="dxa"/>
            <w:vAlign w:val="center"/>
          </w:tcPr>
          <w:p w14:paraId="5B1B83B8">
            <w:pPr>
              <w:pStyle w:val="3"/>
              <w:spacing w:line="240" w:lineRule="auto"/>
              <w:jc w:val="center"/>
              <w:rPr>
                <w:rFonts w:hint="eastAsia" w:ascii="华文中宋" w:hAnsi="华文中宋" w:eastAsia="华文中宋"/>
                <w:sz w:val="32"/>
                <w:szCs w:val="32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</w:rPr>
              <w:t>学    号</w:t>
            </w:r>
          </w:p>
        </w:tc>
        <w:tc>
          <w:tcPr>
            <w:tcW w:w="3871" w:type="dxa"/>
            <w:vAlign w:val="center"/>
          </w:tcPr>
          <w:p w14:paraId="499917B0">
            <w:pPr>
              <w:pStyle w:val="3"/>
              <w:spacing w:line="240" w:lineRule="auto"/>
              <w:jc w:val="center"/>
              <w:rPr>
                <w:rFonts w:hint="default" w:ascii="华文中宋" w:hAnsi="华文中宋" w:eastAsia="华文中宋"/>
                <w:sz w:val="32"/>
                <w:szCs w:val="32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  <w:lang w:val="en-US" w:eastAsia="zh-CN"/>
              </w:rPr>
              <w:t>240834</w:t>
            </w:r>
          </w:p>
        </w:tc>
      </w:tr>
      <w:tr w14:paraId="65DC5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209" w:type="dxa"/>
            <w:vAlign w:val="center"/>
          </w:tcPr>
          <w:p w14:paraId="44B21515">
            <w:pPr>
              <w:pStyle w:val="3"/>
              <w:spacing w:line="240" w:lineRule="auto"/>
              <w:jc w:val="center"/>
              <w:rPr>
                <w:rFonts w:hint="eastAsia" w:ascii="华文中宋" w:hAnsi="华文中宋" w:eastAsia="华文中宋"/>
                <w:sz w:val="32"/>
                <w:szCs w:val="32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</w:rPr>
              <w:t>姓    名</w:t>
            </w:r>
          </w:p>
        </w:tc>
        <w:tc>
          <w:tcPr>
            <w:tcW w:w="3871" w:type="dxa"/>
            <w:vAlign w:val="center"/>
          </w:tcPr>
          <w:p w14:paraId="7EDFAC27">
            <w:pPr>
              <w:pStyle w:val="3"/>
              <w:spacing w:line="240" w:lineRule="auto"/>
              <w:jc w:val="center"/>
              <w:rPr>
                <w:rFonts w:hint="default" w:ascii="华文中宋" w:hAnsi="华文中宋" w:eastAsia="华文中宋"/>
                <w:sz w:val="32"/>
                <w:szCs w:val="32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sz w:val="32"/>
                <w:szCs w:val="32"/>
                <w:lang w:val="en-US" w:eastAsia="zh-CN"/>
              </w:rPr>
              <w:t>成广粮</w:t>
            </w:r>
          </w:p>
        </w:tc>
      </w:tr>
    </w:tbl>
    <w:p w14:paraId="5152AA2F">
      <w:pPr>
        <w:rPr>
          <w:szCs w:val="28"/>
        </w:rPr>
      </w:pPr>
    </w:p>
    <w:p w14:paraId="6B57BD51">
      <w:pPr>
        <w:rPr>
          <w:szCs w:val="28"/>
        </w:rPr>
      </w:pPr>
    </w:p>
    <w:p w14:paraId="2006AA03">
      <w:pPr>
        <w:rPr>
          <w:szCs w:val="28"/>
        </w:rPr>
      </w:pPr>
    </w:p>
    <w:p w14:paraId="3AB509FC">
      <w:pPr>
        <w:rPr>
          <w:szCs w:val="28"/>
        </w:rPr>
      </w:pPr>
    </w:p>
    <w:p w14:paraId="4E4CDAAB">
      <w:pPr>
        <w:rPr>
          <w:szCs w:val="28"/>
        </w:rPr>
      </w:pPr>
    </w:p>
    <w:p w14:paraId="756DAEF4">
      <w:pPr>
        <w:rPr>
          <w:szCs w:val="28"/>
        </w:rPr>
      </w:pPr>
      <w:r>
        <w:rPr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6057900" cy="0"/>
                <wp:effectExtent l="0" t="6350" r="0" b="762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10.15pt;height:0pt;width:477pt;z-index:251662336;mso-width-relative:page;mso-height-relative:page;" filled="f" stroked="t" coordsize="21600,21600" o:gfxdata="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7X&#10;eGjVAAAABgEAAA8AAAAAAAAAAQAgAAAAIgAAAGRycy9kb3ducmV2LnhtbFBLAQIUABQAAAAIAIdO&#10;4kBps85D7QEAANsDAAAOAAAAAAAAAAEAIAAAACQBAABkcnMvZTJvRG9jLnhtbFBLBQYAAAAABgAG&#10;AFkBAACD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278130</wp:posOffset>
                </wp:positionV>
                <wp:extent cx="4551680" cy="495300"/>
                <wp:effectExtent l="5080" t="4445" r="5715" b="508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6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607DBF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pacing w:val="20"/>
                                <w:sz w:val="40"/>
                              </w:rPr>
                              <w:t>河北工业大学机械工程学院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4pt;margin-top:21.9pt;height:39pt;width:358.4pt;z-index:251661312;mso-width-relative:page;mso-height-relative:page;" fillcolor="#FFFFFF" filled="t" stroked="t" coordsize="21600,21600" o:gfxdata="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6/K7z1wAAAAoBAAAPAAAAAAAAAAEAIAAAACIA&#10;AABkcnMvZG93bnJldi54bWxQSwECFAAUAAAACACHTuJAGLYgnAoCAAA4BAAADgAAAAAAAAABACAA&#10;AAAmAQAAZHJzL2Uyb0RvYy54bWxQSwUGAAAAAAYABgBZAQAAo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0607DBF">
                      <w:pPr>
                        <w:jc w:val="center"/>
                        <w:rPr>
                          <w:b/>
                          <w:bCs/>
                          <w:spacing w:val="20"/>
                          <w:sz w:val="40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pacing w:val="20"/>
                          <w:sz w:val="40"/>
                        </w:rPr>
                        <w:t>河北工业大学机械工程学院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0BDDC8DF">
      <w:pPr>
        <w:rPr>
          <w:rFonts w:ascii="黑体" w:eastAsia="黑体"/>
          <w:szCs w:val="28"/>
        </w:rPr>
      </w:pPr>
    </w:p>
    <w:p w14:paraId="20CBE6AE"/>
    <w:p w14:paraId="4F1005BE"/>
    <w:p w14:paraId="39925561"/>
    <w:p w14:paraId="175E0F42">
      <w:pPr>
        <w:jc w:val="center"/>
        <w:outlineLvl w:val="0"/>
        <w:rPr>
          <w:rFonts w:ascii="Arial" w:hAnsi="Arial" w:cs="Arial"/>
          <w:bCs/>
          <w:color w:val="000000"/>
          <w:kern w:val="0"/>
          <w:sz w:val="36"/>
          <w:szCs w:val="36"/>
        </w:rPr>
      </w:pPr>
      <w:bookmarkStart w:id="0" w:name="_Hlk102205256"/>
      <w:r>
        <w:rPr>
          <w:rFonts w:hint="eastAsia" w:ascii="黑体" w:hAnsi="黑体" w:eastAsia="黑体" w:cs="黑体"/>
          <w:bCs/>
          <w:color w:val="000000"/>
          <w:kern w:val="0"/>
          <w:sz w:val="36"/>
          <w:szCs w:val="36"/>
        </w:rPr>
        <w:t>T型管的稳态热-流-固耦合仿真</w:t>
      </w:r>
      <w:bookmarkEnd w:id="0"/>
      <w:r>
        <w:rPr>
          <w:rFonts w:hint="eastAsia" w:ascii="黑体" w:hAnsi="黑体" w:eastAsia="黑体" w:cs="黑体"/>
          <w:bCs/>
          <w:color w:val="000000"/>
          <w:kern w:val="0"/>
          <w:sz w:val="36"/>
          <w:szCs w:val="36"/>
        </w:rPr>
        <w:t>分析计算</w:t>
      </w:r>
    </w:p>
    <w:p w14:paraId="0E7C2714">
      <w:pPr>
        <w:ind w:firstLine="562" w:firstLineChars="200"/>
        <w:jc w:val="left"/>
        <w:outlineLvl w:val="0"/>
        <w:rPr>
          <w:rFonts w:hint="eastAsia" w:ascii="仿宋" w:hAnsi="仿宋" w:eastAsia="仿宋" w:cs="仿宋"/>
          <w:b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"/>
          <w:b/>
          <w:color w:val="000000"/>
          <w:kern w:val="0"/>
          <w:sz w:val="28"/>
          <w:szCs w:val="28"/>
        </w:rPr>
        <w:t>1.</w:t>
      </w:r>
      <w:r>
        <w:rPr>
          <w:rFonts w:hint="eastAsia" w:ascii="仿宋" w:hAnsi="仿宋" w:eastAsia="仿宋" w:cs="仿宋"/>
          <w:b/>
          <w:kern w:val="44"/>
          <w:sz w:val="28"/>
          <w:szCs w:val="28"/>
        </w:rPr>
        <w:t>分析目的</w:t>
      </w:r>
    </w:p>
    <w:p w14:paraId="4BF3E469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（1）学习并使用STAR-CCM+软件</w:t>
      </w:r>
    </w:p>
    <w:p w14:paraId="4584E8C8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通过自己的实践亲身体会工程中热力学分析方法，</w:t>
      </w:r>
      <w:r>
        <w:rPr>
          <w:rFonts w:hint="eastAsia" w:ascii="仿宋" w:hAnsi="仿宋" w:eastAsia="仿宋" w:cs="仿宋"/>
          <w:sz w:val="28"/>
          <w:szCs w:val="28"/>
        </w:rPr>
        <w:t>体悟仿真分析的优势与局限，并提升运用热学知识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分析及解决</w:t>
      </w:r>
      <w:r>
        <w:rPr>
          <w:rFonts w:hint="eastAsia" w:ascii="仿宋" w:hAnsi="仿宋" w:eastAsia="仿宋" w:cs="仿宋"/>
          <w:sz w:val="28"/>
          <w:szCs w:val="28"/>
        </w:rPr>
        <w:t>工程问题的能力。</w:t>
      </w:r>
    </w:p>
    <w:p w14:paraId="003FBD54">
      <w:pPr>
        <w:ind w:firstLine="562" w:firstLineChars="200"/>
        <w:jc w:val="left"/>
        <w:rPr>
          <w:rFonts w:hint="eastAsia" w:ascii="仿宋" w:hAnsi="仿宋" w:eastAsia="仿宋" w:cs="仿宋"/>
          <w:b/>
          <w:bCs/>
          <w:kern w:val="44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kern w:val="44"/>
          <w:sz w:val="28"/>
          <w:szCs w:val="28"/>
        </w:rPr>
        <w:t>2.边界条件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947"/>
        <w:gridCol w:w="1947"/>
        <w:gridCol w:w="1947"/>
      </w:tblGrid>
      <w:tr w14:paraId="70A46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47" w:type="dxa"/>
          </w:tcPr>
          <w:p w14:paraId="284EE25C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</w:pPr>
          </w:p>
        </w:tc>
        <w:tc>
          <w:tcPr>
            <w:tcW w:w="1947" w:type="dxa"/>
          </w:tcPr>
          <w:p w14:paraId="754EA8A7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  <w:t>温度（</w:t>
            </w:r>
            <w:r>
              <w:rPr>
                <w:rFonts w:ascii="宋体" w:hAnsi="宋体" w:eastAsia="宋体" w:cs="宋体"/>
                <w:sz w:val="24"/>
                <w:szCs w:val="24"/>
              </w:rPr>
              <w:t>℃</w:t>
            </w: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  <w:t>）</w:t>
            </w:r>
          </w:p>
        </w:tc>
        <w:tc>
          <w:tcPr>
            <w:tcW w:w="1947" w:type="dxa"/>
          </w:tcPr>
          <w:p w14:paraId="65A916F6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  <w:t>流速(m/s)</w:t>
            </w:r>
          </w:p>
        </w:tc>
        <w:tc>
          <w:tcPr>
            <w:tcW w:w="1947" w:type="dxa"/>
          </w:tcPr>
          <w:p w14:paraId="22E2C4CB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  <w:t>环境温度(</w:t>
            </w:r>
            <w:r>
              <w:rPr>
                <w:rFonts w:ascii="宋体" w:hAnsi="宋体" w:eastAsia="宋体" w:cs="宋体"/>
                <w:sz w:val="24"/>
                <w:szCs w:val="24"/>
              </w:rPr>
              <w:t>℃</w:t>
            </w: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  <w:t>)</w:t>
            </w:r>
          </w:p>
        </w:tc>
      </w:tr>
      <w:tr w14:paraId="1A29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47" w:type="dxa"/>
          </w:tcPr>
          <w:p w14:paraId="6E5DFDBE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  <w:t>冷水进口</w:t>
            </w:r>
          </w:p>
        </w:tc>
        <w:tc>
          <w:tcPr>
            <w:tcW w:w="1947" w:type="dxa"/>
          </w:tcPr>
          <w:p w14:paraId="26DC57E3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1947" w:type="dxa"/>
          </w:tcPr>
          <w:p w14:paraId="6E246EA9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947" w:type="dxa"/>
            <w:vMerge w:val="restart"/>
          </w:tcPr>
          <w:p w14:paraId="06B64960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  <w:t>15</w:t>
            </w:r>
          </w:p>
        </w:tc>
      </w:tr>
      <w:tr w14:paraId="26AB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47" w:type="dxa"/>
          </w:tcPr>
          <w:p w14:paraId="4A9E0D55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  <w:t>热水进口</w:t>
            </w:r>
          </w:p>
        </w:tc>
        <w:tc>
          <w:tcPr>
            <w:tcW w:w="1947" w:type="dxa"/>
          </w:tcPr>
          <w:p w14:paraId="2C7242FB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  <w:t>80</w:t>
            </w:r>
          </w:p>
        </w:tc>
        <w:tc>
          <w:tcPr>
            <w:tcW w:w="1947" w:type="dxa"/>
          </w:tcPr>
          <w:p w14:paraId="36806D80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947" w:type="dxa"/>
            <w:vMerge w:val="continue"/>
          </w:tcPr>
          <w:p w14:paraId="77F5AAED">
            <w:pPr>
              <w:ind w:firstLine="560" w:firstLineChars="200"/>
              <w:jc w:val="left"/>
              <w:rPr>
                <w:rFonts w:hint="eastAsia" w:ascii="仿宋" w:hAnsi="仿宋" w:eastAsia="仿宋" w:cs="仿宋"/>
                <w:bCs/>
                <w:kern w:val="44"/>
                <w:sz w:val="28"/>
                <w:szCs w:val="28"/>
              </w:rPr>
            </w:pPr>
          </w:p>
        </w:tc>
      </w:tr>
    </w:tbl>
    <w:p w14:paraId="13EB6757">
      <w:pPr>
        <w:ind w:firstLine="562" w:firstLineChars="20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3.分析流程</w:t>
      </w:r>
    </w:p>
    <w:p w14:paraId="6BD9AE32">
      <w:pPr>
        <w:pStyle w:val="6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本次T型管冷热水混合与传热数值模拟的整体流程可概括为以下四个阶段：</w:t>
      </w:r>
    </w:p>
    <w:p w14:paraId="4AB9660F">
      <w:pPr>
        <w:pStyle w:val="6"/>
        <w:keepNext w:val="0"/>
        <w:keepLines w:val="0"/>
        <w:widowControl/>
        <w:suppressLineNumbers w:val="0"/>
        <w:ind w:firstLine="562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Style w:val="10"/>
          <w:rFonts w:hint="eastAsia" w:ascii="仿宋" w:hAnsi="仿宋" w:eastAsia="仿宋" w:cs="仿宋"/>
          <w:sz w:val="28"/>
          <w:szCs w:val="28"/>
          <w:lang w:val="en-US" w:eastAsia="zh-CN"/>
        </w:rPr>
        <w:t>（1）</w:t>
      </w:r>
      <w:r>
        <w:rPr>
          <w:rStyle w:val="10"/>
          <w:rFonts w:hint="eastAsia" w:ascii="仿宋" w:hAnsi="仿宋" w:eastAsia="仿宋" w:cs="仿宋"/>
          <w:sz w:val="28"/>
          <w:szCs w:val="28"/>
        </w:rPr>
        <w:t>前处理建模与区域划分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首先导入T型管面网格模型，完成几何加载；随后对FLUID零部件表面进行分割，明确冷水入口（coldinlet）、热水入口（hotinlet）和出口（outlet），其余表面定义为壁面（tunnel）。接着将模型划分为流体区域（liquid）和固体区域（solid），并分别指定为流体和固体类型，同时设置入口为速度进口、出口为压力出口，其余为壁面，为物理求解奠定基础。</w:t>
      </w:r>
    </w:p>
    <w:p w14:paraId="7F1ECD72">
      <w:pPr>
        <w:pStyle w:val="6"/>
        <w:keepNext w:val="0"/>
        <w:keepLines w:val="0"/>
        <w:widowControl/>
        <w:suppressLineNumbers w:val="0"/>
        <w:ind w:firstLine="562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Style w:val="10"/>
          <w:rFonts w:hint="eastAsia" w:ascii="仿宋" w:hAnsi="仿宋" w:eastAsia="仿宋" w:cs="仿宋"/>
          <w:sz w:val="28"/>
          <w:szCs w:val="28"/>
          <w:lang w:val="en-US" w:eastAsia="zh-CN"/>
        </w:rPr>
        <w:t>（2）</w:t>
      </w:r>
      <w:r>
        <w:rPr>
          <w:rStyle w:val="10"/>
          <w:rFonts w:hint="eastAsia" w:ascii="仿宋" w:hAnsi="仿宋" w:eastAsia="仿宋" w:cs="仿宋"/>
          <w:sz w:val="28"/>
          <w:szCs w:val="28"/>
        </w:rPr>
        <w:t>网格划分与质量检查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采用自动网格方法设置基础尺寸和表面尺寸参数，并根据计算需求对局部棱柱层进行控制，在保证精度的前提下节省计算资源。生成体网格后，通过截面与衍生平面检查网格分布，确认网格过渡合理、尺寸比例合适，满足数值计算要求。</w:t>
      </w:r>
    </w:p>
    <w:p w14:paraId="640591E1">
      <w:pPr>
        <w:pStyle w:val="6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这里需要注意，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仅观察</w:t>
      </w:r>
      <w:r>
        <w:rPr>
          <w:rFonts w:hint="eastAsia" w:ascii="仿宋" w:hAnsi="仿宋" w:eastAsia="仿宋" w:cs="仿宋"/>
          <w:sz w:val="28"/>
          <w:szCs w:val="28"/>
        </w:rPr>
        <w:t>三维几何体表面的网格分布，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难以准确判断其内部</w:t>
      </w:r>
      <w:r>
        <w:rPr>
          <w:rFonts w:hint="eastAsia" w:ascii="仿宋" w:hAnsi="仿宋" w:eastAsia="仿宋" w:cs="仿宋"/>
          <w:sz w:val="28"/>
          <w:szCs w:val="28"/>
        </w:rPr>
        <w:t>网格质量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，需要在网格上建立截面，看截面中网格的梯度、衍生和尺寸的衔接。</w:t>
      </w:r>
    </w:p>
    <w:p w14:paraId="1BB20E6C">
      <w:pPr>
        <w:pStyle w:val="6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64785" cy="3289935"/>
            <wp:effectExtent l="0" t="0" r="2540" b="5715"/>
            <wp:docPr id="2" name="图片 2" descr="屏幕截图 2025-12-19 17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9 1716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09B7">
      <w:pPr>
        <w:pStyle w:val="6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有三种检查网格质量的方法，一是看最外层边界层和第一层体网格之间的关系，</w:t>
      </w:r>
      <w:r>
        <w:rPr>
          <w:rFonts w:hint="eastAsia" w:ascii="仿宋" w:hAnsi="仿宋" w:eastAsia="仿宋" w:cs="仿宋"/>
          <w:sz w:val="28"/>
          <w:szCs w:val="28"/>
        </w:rPr>
        <w:t>第一层体网格尺寸是最外层边界网格的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三到</w:t>
      </w:r>
      <w:r>
        <w:rPr>
          <w:rFonts w:hint="eastAsia" w:ascii="仿宋" w:hAnsi="仿宋" w:eastAsia="仿宋" w:cs="仿宋"/>
          <w:sz w:val="28"/>
          <w:szCs w:val="28"/>
        </w:rPr>
        <w:t>四倍左右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二是看体网格的衔接，上一层体网格是下一层体网格的三分之一。三是看</w:t>
      </w:r>
      <w:r>
        <w:rPr>
          <w:rFonts w:ascii="宋体" w:hAnsi="宋体" w:eastAsia="宋体" w:cs="宋体"/>
          <w:sz w:val="24"/>
          <w:szCs w:val="24"/>
        </w:rPr>
        <w:t>y+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值（第一层网格的质心到壁面的距离），需要后期在标量场景中查看。经检验该网格合格。</w:t>
      </w:r>
    </w:p>
    <w:p w14:paraId="4ACCFB9D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 w:firstLine="562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Style w:val="10"/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Style w:val="10"/>
          <w:rFonts w:hint="eastAsia" w:ascii="仿宋" w:hAnsi="仿宋" w:eastAsia="仿宋" w:cs="仿宋"/>
          <w:sz w:val="28"/>
          <w:szCs w:val="28"/>
          <w:lang w:val="en-US" w:eastAsia="zh-CN"/>
        </w:rPr>
        <w:t>3）</w:t>
      </w:r>
      <w:r>
        <w:rPr>
          <w:rStyle w:val="10"/>
          <w:rFonts w:hint="eastAsia" w:ascii="仿宋" w:hAnsi="仿宋" w:eastAsia="仿宋" w:cs="仿宋"/>
          <w:sz w:val="28"/>
          <w:szCs w:val="28"/>
        </w:rPr>
        <w:t>物理模型与边界条件设置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建立物理连续体，分别为固体铜（copper）和流体水（water），并按要求设置材料及热物性参数。在区域和边界中进一步指定流动与传热相关参数，确保流体流动、固体导热及流固耦合过程能够正确描述。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每个人的边界条件有所不同，特别是流体速度。</w:t>
      </w:r>
    </w:p>
    <w:p w14:paraId="522C3A16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62880" cy="3240405"/>
            <wp:effectExtent l="0" t="0" r="4445" b="7620"/>
            <wp:docPr id="4" name="图片 4" descr="屏幕截图 2025-12-19 17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9 1718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8CE3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64785" cy="3289935"/>
            <wp:effectExtent l="0" t="0" r="2540" b="5715"/>
            <wp:docPr id="3" name="图片 3" descr="屏幕截图 2025-12-19 17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9 1716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3C81">
      <w:pPr>
        <w:pStyle w:val="6"/>
        <w:keepNext w:val="0"/>
        <w:keepLines w:val="0"/>
        <w:widowControl/>
        <w:suppressLineNumbers w:val="0"/>
        <w:ind w:firstLine="562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Style w:val="10"/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Style w:val="10"/>
          <w:rFonts w:hint="eastAsia" w:ascii="仿宋" w:hAnsi="仿宋" w:eastAsia="仿宋" w:cs="仿宋"/>
          <w:sz w:val="28"/>
          <w:szCs w:val="28"/>
          <w:lang w:val="en-US" w:eastAsia="zh-CN"/>
        </w:rPr>
        <w:t>4）</w:t>
      </w:r>
      <w:r>
        <w:rPr>
          <w:rStyle w:val="10"/>
          <w:rFonts w:hint="eastAsia" w:ascii="仿宋" w:hAnsi="仿宋" w:eastAsia="仿宋" w:cs="仿宋"/>
          <w:sz w:val="28"/>
          <w:szCs w:val="28"/>
        </w:rPr>
        <w:t>迭代计算与结果收敛判断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初始化计算并建立温度标量场景，将初始温度和环境温度统一设为15 ℃，壁面采用环境换热条件。随后进行迭代计算，通过残差曲线重点监控连续性残差（Residuals），当其降至 10e-04量级以下且整体趋势稳定时，认为计算达到收敛，最终得到稳定的温度场和热传递结果。</w:t>
      </w:r>
    </w:p>
    <w:p w14:paraId="50AE7D96">
      <w:pPr>
        <w:pStyle w:val="6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Style w:val="10"/>
          <w:rFonts w:hint="eastAsia" w:ascii="仿宋" w:hAnsi="仿宋" w:eastAsia="仿宋" w:cs="仿宋"/>
          <w:b w:val="0"/>
          <w:bCs/>
          <w:sz w:val="28"/>
          <w:szCs w:val="28"/>
        </w:rPr>
        <w:t>总体而言</w:t>
      </w:r>
      <w:r>
        <w:rPr>
          <w:rFonts w:hint="eastAsia" w:ascii="仿宋" w:hAnsi="仿宋" w:eastAsia="仿宋" w:cs="仿宋"/>
          <w:sz w:val="28"/>
          <w:szCs w:val="28"/>
        </w:rPr>
        <w:t>，该流程按照“几何与区域定义 → 网格生成与验证 → 物理与边界条件设置 → 数值迭代与收敛分析”的思路逐步推进，逻辑清晰、步骤完整，能够较为可靠地反映T型管内冷热流体混合及传热特性。</w:t>
      </w:r>
    </w:p>
    <w:p w14:paraId="534EEAA9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1A36385B">
      <w:pPr>
        <w:keepNext/>
        <w:keepLines/>
        <w:ind w:firstLine="562" w:firstLineChars="200"/>
        <w:jc w:val="left"/>
        <w:outlineLvl w:val="0"/>
        <w:rPr>
          <w:rFonts w:hint="eastAsia" w:ascii="仿宋" w:hAnsi="仿宋" w:eastAsia="仿宋" w:cs="仿宋"/>
          <w:b/>
          <w:kern w:val="44"/>
          <w:sz w:val="28"/>
          <w:szCs w:val="28"/>
        </w:rPr>
      </w:pPr>
      <w:bookmarkStart w:id="1" w:name="_Toc28436"/>
      <w:r>
        <w:rPr>
          <w:rFonts w:hint="eastAsia" w:ascii="仿宋" w:hAnsi="仿宋" w:eastAsia="仿宋" w:cs="仿宋"/>
          <w:b/>
          <w:kern w:val="44"/>
          <w:sz w:val="28"/>
          <w:szCs w:val="28"/>
        </w:rPr>
        <w:t xml:space="preserve">4 </w:t>
      </w:r>
      <w:bookmarkEnd w:id="1"/>
      <w:r>
        <w:rPr>
          <w:rFonts w:hint="eastAsia" w:ascii="仿宋" w:hAnsi="仿宋" w:eastAsia="仿宋" w:cs="仿宋"/>
          <w:b/>
          <w:kern w:val="44"/>
          <w:sz w:val="28"/>
          <w:szCs w:val="28"/>
        </w:rPr>
        <w:t>.分析结果</w:t>
      </w:r>
    </w:p>
    <w:p w14:paraId="1D0D37DE">
      <w:pPr>
        <w:keepNext/>
        <w:keepLines/>
        <w:numPr>
          <w:ilvl w:val="0"/>
          <w:numId w:val="1"/>
        </w:numPr>
        <w:ind w:left="210" w:leftChars="0" w:firstLineChars="0"/>
        <w:jc w:val="left"/>
        <w:outlineLvl w:val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残差图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分析</w:t>
      </w:r>
      <w:r>
        <w:rPr>
          <w:rFonts w:hint="eastAsia" w:ascii="仿宋" w:hAnsi="仿宋" w:eastAsia="仿宋" w:cs="仿宋"/>
          <w:sz w:val="28"/>
          <w:szCs w:val="28"/>
        </w:rPr>
        <w:t xml:space="preserve"> —— 仿真收敛性与计算基础</w:t>
      </w:r>
    </w:p>
    <w:p w14:paraId="7C944D35">
      <w:pPr>
        <w:keepNext/>
        <w:keepLines/>
        <w:numPr>
          <w:numId w:val="0"/>
        </w:numPr>
        <w:jc w:val="left"/>
        <w:outlineLvl w:val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drawing>
          <wp:inline distT="0" distB="0" distL="114300" distR="114300">
            <wp:extent cx="5264785" cy="3289935"/>
            <wp:effectExtent l="0" t="0" r="2540" b="5715"/>
            <wp:docPr id="5" name="图片 5" descr="残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残差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184">
      <w:pPr>
        <w:ind w:firstLine="560" w:firstLineChars="200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虽然残差呈现波动性但是其连续性都在</w:t>
      </w:r>
      <w:r>
        <w:rPr>
          <w:rFonts w:hint="eastAsia" w:ascii="仿宋" w:hAnsi="仿宋" w:eastAsia="仿宋" w:cs="仿宋"/>
          <w:sz w:val="28"/>
          <w:szCs w:val="28"/>
        </w:rPr>
        <w:t>10e-04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量级及以下，可以判断数据已经收敛。查阅资料发现，</w:t>
      </w:r>
      <w:r>
        <w:rPr>
          <w:rFonts w:hint="eastAsia" w:ascii="仿宋" w:hAnsi="仿宋" w:eastAsia="仿宋" w:cs="仿宋"/>
          <w:sz w:val="28"/>
          <w:szCs w:val="28"/>
        </w:rPr>
        <w:t>残差的收敛是运用数值方法解决传热问题的基本前提。能量方程的高精度收敛保证了热量平衡，证明了该仿真符合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能量守恒定律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。</w:t>
      </w:r>
    </w:p>
    <w:p w14:paraId="44D046A4">
      <w:pPr>
        <w:numPr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6119E143">
      <w:pPr>
        <w:numPr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（2）</w:t>
      </w:r>
      <w:r>
        <w:rPr>
          <w:rFonts w:hint="eastAsia" w:ascii="仿宋" w:hAnsi="仿宋" w:eastAsia="仿宋" w:cs="仿宋"/>
          <w:sz w:val="28"/>
          <w:szCs w:val="28"/>
        </w:rPr>
        <w:t>温度场云图  —— 热量交换的核心体现</w:t>
      </w:r>
    </w:p>
    <w:p w14:paraId="003A11C5">
      <w:pPr>
        <w:numPr>
          <w:numId w:val="0"/>
        </w:numPr>
        <w:ind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64785" cy="3267075"/>
            <wp:effectExtent l="0" t="0" r="2540" b="0"/>
            <wp:docPr id="6" name="图片 6" descr="温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温度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102F">
      <w:pPr>
        <w:pStyle w:val="6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冷水（20°C）从侧管进入，热水（80°C）从直管进入。在交汇处（T型连接区），颜色由深蓝和深红迅速演变为绿色和黄色，最后在出口处趋于均匀的中间色（约40-50°C左右）。 此图直观展示了对流换热的过程。冷热水流在交汇区发生了剧烈的质量与能量交换（强迫对流）。观察管壁（Solid区域）的颜色层次，可以发现热量从流体通过对流传给管壁内表面，再通过管壁的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热传导（Conduction）向外扩散。管壁厚度方向的温度梯度体现了傅里叶定律</w:t>
      </w:r>
      <w:r>
        <w:rPr>
          <w:rFonts w:hint="eastAsia" w:ascii="仿宋" w:hAnsi="仿宋" w:eastAsia="仿宋" w:cs="仿宋"/>
          <w:sz w:val="28"/>
          <w:szCs w:val="28"/>
        </w:rPr>
        <w:t>在固体散热中的应用。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drawing>
          <wp:inline distT="0" distB="0" distL="114300" distR="114300">
            <wp:extent cx="5270500" cy="2794000"/>
            <wp:effectExtent l="0" t="0" r="6350" b="6350"/>
            <wp:docPr id="7" name="图片 7" descr="屏幕截图 2025-12-20 12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20 1251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6AE8">
      <w:pPr>
        <w:pStyle w:val="6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3）</w:t>
      </w:r>
      <w:r>
        <w:rPr>
          <w:rFonts w:hint="eastAsia" w:ascii="仿宋" w:hAnsi="仿宋" w:eastAsia="仿宋" w:cs="仿宋"/>
          <w:sz w:val="28"/>
          <w:szCs w:val="28"/>
        </w:rPr>
        <w:t>速度矢量图  —— 影响对流换热的关键因素</w:t>
      </w:r>
    </w:p>
    <w:p w14:paraId="31132B5C">
      <w:pPr>
        <w:numPr>
          <w:numId w:val="0"/>
        </w:numPr>
        <w:tabs>
          <w:tab w:val="left" w:pos="825"/>
        </w:tabs>
        <w:bidi w:val="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64785" cy="3289935"/>
            <wp:effectExtent l="0" t="0" r="2540" b="5715"/>
            <wp:docPr id="8" name="图片 8" descr="速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速度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19C6">
      <w:pPr>
        <w:bidi w:val="0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</w:p>
    <w:p w14:paraId="3F90DA0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</w:rPr>
        <w:t>在T型接头处，流体由于方向改变产生了明显的滞止区和湍流扰动。速度场的不均匀分布直接对应了温度场混合的剧烈程度。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根据</w:t>
      </w: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牛顿冷却公式</w:t>
      </w:r>
    </w:p>
    <w:p w14:paraId="21E2F23C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q=hΔ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T</w:t>
      </w:r>
    </w:p>
    <w:p w14:paraId="7741D22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28"/>
          <w:szCs w:val="28"/>
        </w:rPr>
      </w:pPr>
      <w:bookmarkStart w:id="2" w:name="_GoBack"/>
      <w:bookmarkEnd w:id="2"/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表面传热系数h与流体的流动状态密切相关。速度场分析表明，在汇合处的高流速和局部紊流（由速度矢量乱序可见）极大地增强了热量的混合能力。查阅资料得知，</w:t>
      </w:r>
      <w:r>
        <w:rPr>
          <w:rFonts w:hint="eastAsia" w:ascii="仿宋" w:hAnsi="仿宋" w:eastAsia="仿宋" w:cs="仿宋"/>
          <w:sz w:val="28"/>
          <w:szCs w:val="28"/>
        </w:rPr>
        <w:t>速度分布决定了能量交换效率，通过分析速度梯度，可以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优化管道截面设计以减少流动死区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0B0F8F53">
      <w:pPr>
        <w:numPr>
          <w:numId w:val="0"/>
        </w:numPr>
        <w:tabs>
          <w:tab w:val="left" w:pos="775"/>
        </w:tabs>
        <w:bidi w:val="0"/>
        <w:ind w:leftChars="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3E85E3DD">
      <w:pPr>
        <w:numPr>
          <w:numId w:val="0"/>
        </w:numPr>
        <w:tabs>
          <w:tab w:val="left" w:pos="775"/>
        </w:tabs>
        <w:bidi w:val="0"/>
        <w:ind w:left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4）</w:t>
      </w:r>
      <w:r>
        <w:rPr>
          <w:rFonts w:hint="eastAsia" w:ascii="仿宋" w:hAnsi="仿宋" w:eastAsia="仿宋" w:cs="仿宋"/>
          <w:sz w:val="28"/>
          <w:szCs w:val="28"/>
        </w:rPr>
        <w:t>压力系数云图  —— 能源消耗与工程评价</w:t>
      </w:r>
    </w:p>
    <w:p w14:paraId="2393FCA9">
      <w:pPr>
        <w:numPr>
          <w:numId w:val="0"/>
        </w:numPr>
        <w:tabs>
          <w:tab w:val="left" w:pos="775"/>
        </w:tabs>
        <w:bidi w:val="0"/>
        <w:ind w:leftChars="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64785" cy="3289935"/>
            <wp:effectExtent l="0" t="0" r="2540" b="5715"/>
            <wp:docPr id="9" name="图片 9" descr="压力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压力系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28AA">
      <w:pPr>
        <w:numPr>
          <w:numId w:val="0"/>
        </w:numPr>
        <w:tabs>
          <w:tab w:val="left" w:pos="775"/>
        </w:tabs>
        <w:bidi w:val="0"/>
        <w:ind w:leftChars="0" w:firstLine="560" w:firstLineChars="20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进口处压力最高（红色），出口处压力最低（蓝色）。在T型弯头内侧出现了局部的低压区。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查阅资料得知</w:t>
      </w:r>
      <w:r>
        <w:rPr>
          <w:rFonts w:hint="eastAsia" w:ascii="仿宋" w:hAnsi="仿宋" w:eastAsia="仿宋" w:cs="仿宋"/>
          <w:sz w:val="28"/>
          <w:szCs w:val="28"/>
        </w:rPr>
        <w:t>压力降直接关系到输送流体所需的泵功。压力系数的剧烈波动反映了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机械结构</w:t>
      </w:r>
      <w:r>
        <w:rPr>
          <w:rFonts w:hint="eastAsia" w:ascii="仿宋" w:hAnsi="仿宋" w:eastAsia="仿宋" w:cs="仿宋"/>
          <w:sz w:val="28"/>
          <w:szCs w:val="28"/>
        </w:rPr>
        <w:t>带来的阻力。如果压力损失过大，即使换热效率高，也会因为泵能耗过大而导致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整体能源利用率低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所以可以通过合理设计管道形状改变管道压力来减少泵能消耗，从而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节省能源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。</w:t>
      </w:r>
    </w:p>
    <w:p w14:paraId="491A53C2">
      <w:pPr>
        <w:numPr>
          <w:numId w:val="0"/>
        </w:numPr>
        <w:tabs>
          <w:tab w:val="left" w:pos="775"/>
        </w:tabs>
        <w:bidi w:val="0"/>
        <w:ind w:leftChars="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1648C9FA">
      <w:pPr>
        <w:numPr>
          <w:numId w:val="0"/>
        </w:numPr>
        <w:tabs>
          <w:tab w:val="left" w:pos="775"/>
        </w:tabs>
        <w:bidi w:val="0"/>
        <w:ind w:leftChars="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5）</w:t>
      </w:r>
      <w:r>
        <w:rPr>
          <w:rFonts w:hint="eastAsia" w:ascii="仿宋" w:hAnsi="仿宋" w:eastAsia="仿宋" w:cs="仿宋"/>
          <w:sz w:val="28"/>
          <w:szCs w:val="28"/>
        </w:rPr>
        <w:t>传热量/热通量云图 —— 综合传热强度评价</w:t>
      </w:r>
    </w:p>
    <w:p w14:paraId="10912D58">
      <w:pPr>
        <w:numPr>
          <w:numId w:val="0"/>
        </w:numPr>
        <w:tabs>
          <w:tab w:val="left" w:pos="775"/>
        </w:tabs>
        <w:bidi w:val="0"/>
        <w:ind w:leftChars="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64785" cy="3289935"/>
            <wp:effectExtent l="0" t="0" r="2540" b="5715"/>
            <wp:docPr id="10" name="图片 10" descr="传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传热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E51C">
      <w:pPr>
        <w:pStyle w:val="6"/>
        <w:keepNext w:val="0"/>
        <w:keepLines w:val="0"/>
        <w:widowControl/>
        <w:suppressLineNumbers w:val="0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重点展示了固体与流体交界面上的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热交换</w:t>
      </w:r>
      <w:r>
        <w:rPr>
          <w:rFonts w:hint="eastAsia" w:ascii="仿宋" w:hAnsi="仿宋" w:eastAsia="仿宋" w:cs="仿宋"/>
          <w:sz w:val="28"/>
          <w:szCs w:val="28"/>
        </w:rPr>
        <w:t>强度。在冷热水初次接触的管壁区域，热通量数值最高。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查阅资料得知，</w:t>
      </w:r>
      <w:r>
        <w:rPr>
          <w:rFonts w:hint="eastAsia" w:ascii="仿宋" w:hAnsi="仿宋" w:eastAsia="仿宋" w:cs="仿宋"/>
          <w:sz w:val="28"/>
          <w:szCs w:val="28"/>
        </w:rPr>
        <w:t>这是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综合传热</w:t>
      </w:r>
      <w:r>
        <w:rPr>
          <w:rFonts w:hint="eastAsia" w:ascii="仿宋" w:hAnsi="仿宋" w:eastAsia="仿宋" w:cs="仿宋"/>
          <w:sz w:val="28"/>
          <w:szCs w:val="28"/>
        </w:rPr>
        <w:t>（对流+传导）的量化表现。通过热通量分布，可以精准定位管道的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热疲劳危险区域（热应力集中点）</w:t>
      </w:r>
      <w:r>
        <w:rPr>
          <w:rFonts w:hint="eastAsia" w:ascii="仿宋" w:hAnsi="仿宋" w:eastAsia="仿宋" w:cs="仿宋"/>
          <w:sz w:val="28"/>
          <w:szCs w:val="28"/>
        </w:rPr>
        <w:t>。这种局部分析有助于评估是否需要针对特定区域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加强保温或强化换热措施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566C4CB">
      <w:pPr>
        <w:pStyle w:val="6"/>
        <w:keepNext w:val="0"/>
        <w:keepLines w:val="0"/>
        <w:widowControl/>
        <w:suppressLineNumbers w:val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6）</w:t>
      </w:r>
      <w:r>
        <w:rPr>
          <w:rFonts w:hint="eastAsia" w:ascii="仿宋" w:hAnsi="仿宋" w:eastAsia="仿宋" w:cs="仿宋"/>
          <w:sz w:val="28"/>
          <w:szCs w:val="28"/>
        </w:rPr>
        <w:t>总热交换系数云图  —— 换热效率评价</w:t>
      </w:r>
    </w:p>
    <w:p w14:paraId="0D6DE0C6">
      <w:pPr>
        <w:numPr>
          <w:numId w:val="0"/>
        </w:numPr>
        <w:ind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5254625" cy="3289935"/>
            <wp:effectExtent l="0" t="0" r="3175" b="5715"/>
            <wp:docPr id="11" name="图片 11" descr="总热交换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总热交换系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6538">
      <w:pPr>
        <w:bidi w:val="0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</w:p>
    <w:p w14:paraId="774A1C9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sz w:val="28"/>
          <w:szCs w:val="28"/>
        </w:rPr>
        <w:t>图中给出了传热系数（Heat Transfer Coefficient）的分布。在流体撞击壁面和汇合区，系数达到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最高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查阅资料得知，</w:t>
      </w:r>
      <w:r>
        <w:rPr>
          <w:rFonts w:hint="eastAsia" w:ascii="仿宋" w:hAnsi="仿宋" w:eastAsia="仿宋" w:cs="仿宋"/>
          <w:sz w:val="28"/>
          <w:szCs w:val="28"/>
        </w:rPr>
        <w:t>这一指标综合了流体物性（水）、流动状态（速度）和几何结构的影响。它是评价“机械设计解决方案”优劣的核心参数。</w:t>
      </w:r>
      <w:r>
        <w:rPr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仿真所得的 h值可以用来校验实验室经验公式（如 Dittus-Boelter公式）在复杂结构中的适用性。</w:t>
      </w:r>
    </w:p>
    <w:p w14:paraId="2BE66DF5">
      <w:pPr>
        <w:keepNext w:val="0"/>
        <w:keepLines w:val="0"/>
        <w:widowControl/>
        <w:suppressLineNumbers w:val="0"/>
        <w:ind w:firstLine="562" w:firstLineChars="200"/>
        <w:jc w:val="left"/>
        <w:rPr>
          <w:rFonts w:hint="eastAsia" w:ascii="仿宋" w:hAnsi="仿宋" w:eastAsia="仿宋" w:cs="仿宋"/>
          <w:b/>
          <w:bCs w:val="0"/>
          <w:kern w:val="4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kern w:val="44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b/>
          <w:bCs w:val="0"/>
          <w:kern w:val="44"/>
          <w:sz w:val="28"/>
          <w:szCs w:val="28"/>
        </w:rPr>
        <w:t xml:space="preserve"> .</w:t>
      </w:r>
      <w:r>
        <w:rPr>
          <w:rFonts w:hint="eastAsia" w:ascii="仿宋" w:hAnsi="仿宋" w:eastAsia="仿宋" w:cs="仿宋"/>
          <w:b/>
          <w:bCs w:val="0"/>
          <w:kern w:val="44"/>
          <w:sz w:val="28"/>
          <w:szCs w:val="28"/>
          <w:lang w:val="en-US" w:eastAsia="zh-CN"/>
        </w:rPr>
        <w:t>遇到的问题及解决方案</w:t>
      </w:r>
    </w:p>
    <w:p w14:paraId="2DEE9EFE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  <w:t>首先便是判断残差图中数据是否收敛的问题，数据震荡并不代表数据不收敛，计算至1000步时连续性量级已经达到十的负四次方，已经可以认为收敛，也可以通过计算到1500步进一步验证数据是否收敛。</w:t>
      </w:r>
    </w:p>
    <w:p w14:paraId="37B48D8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  <w:t>其次是固体铜管热条件无法设置成室温，可能是软件版本的问题，使用同学电脑用不同版本的软件进行解决。</w:t>
      </w:r>
    </w:p>
    <w:p w14:paraId="20D71821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  <w:t>最后是资料查阅的问题，专业资料理解难度较大，科普资料又不够深入，可以通过找一些专业性比较强的up主，来看他们的讲解视频，也可以把不懂的点和AI进行交谈获取新知。学习是一个</w:t>
      </w:r>
      <w:r>
        <w:rPr>
          <w:rFonts w:hint="eastAsia" w:ascii="仿宋" w:hAnsi="仿宋" w:eastAsia="仿宋" w:cs="仿宋"/>
          <w:sz w:val="28"/>
          <w:szCs w:val="28"/>
        </w:rPr>
        <w:t>长期的过程</w:t>
      </w:r>
      <w:r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  <w:t>，遇到问题解决问题获得成长是最高效的路。</w:t>
      </w:r>
    </w:p>
    <w:p w14:paraId="119C1986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7F16A74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388E161E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47909D96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1DFD14EE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794FD14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1B8E5E5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79A70162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0FD29C96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5A074D7F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44BFC4B7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721C0E0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286547A1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0F425172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7F425897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6CCEE622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54D2C116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仿宋" w:hAnsi="仿宋" w:eastAsia="仿宋" w:cs="仿宋"/>
          <w:b w:val="0"/>
          <w:bCs/>
          <w:kern w:val="44"/>
          <w:sz w:val="28"/>
          <w:szCs w:val="28"/>
          <w:lang w:val="en-US" w:eastAsia="zh-CN"/>
        </w:rPr>
      </w:pPr>
    </w:p>
    <w:p w14:paraId="465DF712">
      <w:pPr>
        <w:jc w:val="both"/>
        <w:rPr>
          <w:rFonts w:hint="eastAsia"/>
          <w:b/>
          <w:bCs/>
          <w:sz w:val="32"/>
          <w:szCs w:val="32"/>
        </w:rPr>
      </w:pPr>
    </w:p>
    <w:p w14:paraId="18B49AC7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《热工基础》课程报告评分标准</w:t>
      </w:r>
    </w:p>
    <w:p w14:paraId="05109E14">
      <w:pPr>
        <w:jc w:val="center"/>
        <w:rPr>
          <w:rFonts w:hint="eastAsia"/>
          <w:b/>
          <w:bCs/>
          <w:sz w:val="32"/>
          <w:szCs w:val="32"/>
        </w:rPr>
      </w:pPr>
    </w:p>
    <w:tbl>
      <w:tblPr>
        <w:tblStyle w:val="7"/>
        <w:tblW w:w="88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5285"/>
        <w:gridCol w:w="1976"/>
      </w:tblGrid>
      <w:tr w14:paraId="7E01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561" w:type="dxa"/>
            <w:noWrap w:val="0"/>
            <w:vAlign w:val="center"/>
          </w:tcPr>
          <w:p w14:paraId="41376CC1">
            <w:pPr>
              <w:pStyle w:val="6"/>
              <w:widowControl/>
              <w:shd w:val="clear" w:color="auto" w:fill="FFFFFF"/>
              <w:spacing w:line="360" w:lineRule="auto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</w:p>
        </w:tc>
        <w:tc>
          <w:tcPr>
            <w:tcW w:w="5285" w:type="dxa"/>
            <w:noWrap w:val="0"/>
            <w:vAlign w:val="center"/>
          </w:tcPr>
          <w:p w14:paraId="76E5816D">
            <w:pPr>
              <w:pStyle w:val="6"/>
              <w:widowControl/>
              <w:shd w:val="clear" w:color="auto" w:fill="FFFFFF"/>
              <w:spacing w:line="360" w:lineRule="auto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评审依据</w:t>
            </w:r>
          </w:p>
        </w:tc>
        <w:tc>
          <w:tcPr>
            <w:tcW w:w="1976" w:type="dxa"/>
            <w:noWrap w:val="0"/>
            <w:vAlign w:val="center"/>
          </w:tcPr>
          <w:p w14:paraId="3D66E168">
            <w:pPr>
              <w:pStyle w:val="6"/>
              <w:widowControl/>
              <w:shd w:val="clear" w:color="auto" w:fill="FFFFFF"/>
              <w:spacing w:line="360" w:lineRule="auto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得分</w:t>
            </w:r>
          </w:p>
        </w:tc>
      </w:tr>
      <w:tr w14:paraId="2DFBA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2" w:hRule="atLeast"/>
          <w:jc w:val="center"/>
        </w:trPr>
        <w:tc>
          <w:tcPr>
            <w:tcW w:w="1561" w:type="dxa"/>
            <w:noWrap w:val="0"/>
            <w:vAlign w:val="center"/>
          </w:tcPr>
          <w:p w14:paraId="249C9036">
            <w:pPr>
              <w:pStyle w:val="6"/>
              <w:widowControl/>
              <w:shd w:val="clear" w:color="auto" w:fill="FFFFFF"/>
              <w:spacing w:line="360" w:lineRule="auto"/>
              <w:ind w:left="-4" w:leftChars="-19" w:hanging="36" w:hangingChars="13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评审指标1</w:t>
            </w:r>
          </w:p>
        </w:tc>
        <w:tc>
          <w:tcPr>
            <w:tcW w:w="5285" w:type="dxa"/>
            <w:noWrap w:val="0"/>
            <w:vAlign w:val="center"/>
          </w:tcPr>
          <w:p w14:paraId="47C48D5F">
            <w:pPr>
              <w:spacing w:line="30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能够了解并掌握热传导\热对流\热辐射等重点理论知识与原理。</w:t>
            </w:r>
          </w:p>
        </w:tc>
        <w:tc>
          <w:tcPr>
            <w:tcW w:w="1976" w:type="dxa"/>
            <w:noWrap w:val="0"/>
            <w:vAlign w:val="center"/>
          </w:tcPr>
          <w:p w14:paraId="1FBDCF7B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4D3C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  <w:jc w:val="center"/>
        </w:trPr>
        <w:tc>
          <w:tcPr>
            <w:tcW w:w="1561" w:type="dxa"/>
            <w:noWrap w:val="0"/>
            <w:vAlign w:val="center"/>
          </w:tcPr>
          <w:p w14:paraId="5852BAB6">
            <w:pPr>
              <w:pStyle w:val="6"/>
              <w:widowControl/>
              <w:shd w:val="clear" w:color="auto" w:fill="FFFFFF"/>
              <w:spacing w:line="360" w:lineRule="auto"/>
              <w:ind w:left="-4" w:leftChars="-19" w:hanging="36" w:hangingChars="13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评审指标2</w:t>
            </w:r>
          </w:p>
        </w:tc>
        <w:tc>
          <w:tcPr>
            <w:tcW w:w="5285" w:type="dxa"/>
            <w:noWrap w:val="0"/>
            <w:vAlign w:val="center"/>
          </w:tcPr>
          <w:p w14:paraId="2BDFE34C">
            <w:pPr>
              <w:spacing w:line="300" w:lineRule="auto"/>
              <w:rPr>
                <w:rFonts w:hint="eastAsia"/>
                <w:szCs w:val="21"/>
              </w:rPr>
            </w:pPr>
            <w:r>
              <w:rPr>
                <w:rFonts w:hint="eastAsia"/>
                <w:sz w:val="28"/>
                <w:szCs w:val="28"/>
              </w:rPr>
              <w:t>能够运用传热学的基本定律和基本知识及原理，结合</w:t>
            </w:r>
            <w:r>
              <w:rPr>
                <w:rFonts w:hint="eastAsia"/>
                <w:sz w:val="28"/>
                <w:szCs w:val="28"/>
                <w:highlight w:val="yellow"/>
              </w:rPr>
              <w:t>文献资料研究</w:t>
            </w:r>
            <w:r>
              <w:rPr>
                <w:rFonts w:hint="eastAsia"/>
                <w:sz w:val="28"/>
                <w:szCs w:val="28"/>
              </w:rPr>
              <w:t>，对机械设计及制造的解决方案的</w:t>
            </w:r>
            <w:r>
              <w:rPr>
                <w:rFonts w:hint="eastAsia"/>
                <w:sz w:val="28"/>
                <w:szCs w:val="28"/>
                <w:highlight w:val="yellow"/>
              </w:rPr>
              <w:t>各种影响因素进行分析</w:t>
            </w:r>
            <w:r>
              <w:rPr>
                <w:rFonts w:hint="eastAsia"/>
                <w:sz w:val="28"/>
                <w:szCs w:val="28"/>
              </w:rPr>
              <w:t>，掌握热传导\热对流\热辐射以及综合传热等问题的基本分析方法和计算方法。</w:t>
            </w:r>
          </w:p>
        </w:tc>
        <w:tc>
          <w:tcPr>
            <w:tcW w:w="1976" w:type="dxa"/>
            <w:noWrap w:val="0"/>
            <w:vAlign w:val="center"/>
          </w:tcPr>
          <w:p w14:paraId="5B66DC9E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1A123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3" w:hRule="atLeast"/>
          <w:jc w:val="center"/>
        </w:trPr>
        <w:tc>
          <w:tcPr>
            <w:tcW w:w="1561" w:type="dxa"/>
            <w:noWrap w:val="0"/>
            <w:vAlign w:val="center"/>
          </w:tcPr>
          <w:p w14:paraId="4C5EA2CC">
            <w:pPr>
              <w:pStyle w:val="6"/>
              <w:widowControl/>
              <w:shd w:val="clear" w:color="auto" w:fill="FFFFFF"/>
              <w:spacing w:line="360" w:lineRule="auto"/>
              <w:ind w:left="-4" w:leftChars="-19" w:hanging="36" w:hangingChars="13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评审指标3</w:t>
            </w:r>
          </w:p>
        </w:tc>
        <w:tc>
          <w:tcPr>
            <w:tcW w:w="5285" w:type="dxa"/>
            <w:noWrap w:val="0"/>
            <w:vAlign w:val="center"/>
          </w:tcPr>
          <w:p w14:paraId="0B25BDEA">
            <w:pPr>
              <w:spacing w:line="30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能够理解和</w:t>
            </w:r>
            <w:r>
              <w:rPr>
                <w:rFonts w:hint="eastAsia"/>
                <w:sz w:val="28"/>
                <w:szCs w:val="28"/>
                <w:highlight w:val="yellow"/>
              </w:rPr>
              <w:t>评价机械产品设计\制造过程和产品运用对能源\环境等方面的影响</w:t>
            </w:r>
            <w:r>
              <w:rPr>
                <w:rFonts w:hint="eastAsia"/>
                <w:sz w:val="28"/>
                <w:szCs w:val="28"/>
              </w:rPr>
              <w:t>，客观评价工程实践与能源节约问题的冲突，优化机械产品设计\制造过程问题的解决方案，采取合理的技术手段减少对环境的影响和节约资源。</w:t>
            </w:r>
          </w:p>
        </w:tc>
        <w:tc>
          <w:tcPr>
            <w:tcW w:w="1976" w:type="dxa"/>
            <w:noWrap w:val="0"/>
            <w:vAlign w:val="center"/>
          </w:tcPr>
          <w:p w14:paraId="50F2462E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14:paraId="3F9E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  <w:jc w:val="center"/>
        </w:trPr>
        <w:tc>
          <w:tcPr>
            <w:tcW w:w="1561" w:type="dxa"/>
            <w:noWrap w:val="0"/>
            <w:vAlign w:val="center"/>
          </w:tcPr>
          <w:p w14:paraId="2ED7A917">
            <w:pPr>
              <w:pStyle w:val="6"/>
              <w:widowControl/>
              <w:shd w:val="clear" w:color="auto" w:fill="FFFFFF"/>
              <w:spacing w:line="360" w:lineRule="auto"/>
              <w:ind w:left="-4" w:leftChars="-19" w:hanging="36" w:hangingChars="13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总评成绩</w:t>
            </w:r>
          </w:p>
        </w:tc>
        <w:tc>
          <w:tcPr>
            <w:tcW w:w="5285" w:type="dxa"/>
            <w:noWrap w:val="0"/>
            <w:vAlign w:val="center"/>
          </w:tcPr>
          <w:p w14:paraId="44D8E320">
            <w:pPr>
              <w:pStyle w:val="6"/>
              <w:widowControl/>
              <w:shd w:val="clear" w:color="auto" w:fill="FFFFFF"/>
              <w:spacing w:line="360" w:lineRule="auto"/>
              <w:jc w:val="center"/>
              <w:rPr>
                <w:rFonts w:hint="eastAsia"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976" w:type="dxa"/>
            <w:noWrap w:val="0"/>
            <w:vAlign w:val="center"/>
          </w:tcPr>
          <w:p w14:paraId="3C85F0D5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3B0B6DE5">
      <w:pPr>
        <w:jc w:val="center"/>
        <w:rPr>
          <w:rFonts w:hint="eastAsia"/>
          <w:sz w:val="28"/>
          <w:szCs w:val="28"/>
        </w:rPr>
      </w:pPr>
    </w:p>
    <w:p w14:paraId="73303C1B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教师签字：</w:t>
      </w:r>
    </w:p>
    <w:p w14:paraId="467574DF">
      <w:pPr>
        <w:widowControl/>
        <w:shd w:val="clear" w:color="auto" w:fill="FFFFFF"/>
        <w:spacing w:before="156" w:beforeLines="50" w:after="156" w:afterLines="50" w:line="324" w:lineRule="atLeast"/>
        <w:ind w:firstLine="422" w:firstLineChars="200"/>
        <w:rPr>
          <w:rFonts w:hint="eastAsia"/>
          <w:b/>
        </w:rPr>
      </w:pPr>
    </w:p>
    <w:p w14:paraId="70CF25C1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</w:p>
    <w:p w14:paraId="6081ADA4">
      <w:pPr>
        <w:keepNext/>
        <w:keepLines/>
        <w:ind w:firstLine="562" w:firstLineChars="200"/>
        <w:jc w:val="left"/>
        <w:outlineLvl w:val="0"/>
        <w:rPr>
          <w:rFonts w:hint="default" w:ascii="仿宋" w:hAnsi="仿宋" w:eastAsia="仿宋" w:cs="Times New Roman"/>
          <w:b/>
          <w:kern w:val="44"/>
          <w:sz w:val="28"/>
          <w:szCs w:val="28"/>
          <w:lang w:val="en-US" w:eastAsia="zh-CN"/>
        </w:rPr>
      </w:pPr>
    </w:p>
    <w:p w14:paraId="34F0DAB6">
      <w:pPr>
        <w:bidi w:val="0"/>
        <w:ind w:firstLine="225" w:firstLine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80008"/>
    <w:multiLevelType w:val="multilevel"/>
    <w:tmpl w:val="8B180008"/>
    <w:lvl w:ilvl="0" w:tentative="0">
      <w:start w:val="1"/>
      <w:numFmt w:val="decimal"/>
      <w:suff w:val="nothing"/>
      <w:lvlText w:val="（%1）"/>
      <w:lvlJc w:val="left"/>
      <w:pPr>
        <w:ind w:left="210"/>
      </w:p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05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47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89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31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73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15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57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99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42E38"/>
    <w:rsid w:val="7694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line="360" w:lineRule="auto"/>
    </w:pPr>
    <w:rPr>
      <w:bCs/>
      <w:sz w:val="24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2025-12-20T03:19:00Z</dcterms:created>
  <dc:creator>成广粮</dc:creator>
  <cp:lastModifiedBy>成广粮</cp:lastModifiedBy>
  <dcterms:modified xsi:type="dcterms:W3CDTF">2025-12-20T10:07:42Z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8CE7FCE87A3A4DD89CFF04340C8F9626_11</vt:lpwstr>
  </property>
  <property fmtid="{D5CDD505-2E9C-101B-9397-08002B2CF9AE}" pid="4" name="KSOTemplateDocerSaveRecord">
    <vt:lpwstr>eyJoZGlkIjoiN2M2OGNkNTU3YmZmNzE1NjdiNjg3ZGEyODEwZTkwOTEiLCJ1c2VySWQiOiIxNjI4Nzc0NTI3In0=</vt:lpwstr>
  </property>
</Properties>
</file>