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9"/>
        <w:spacing w:line="480" w:lineRule="auto"/>
        <w:jc w:val="center"/>
        <w:rPr>
          <w:rFonts w:ascii="Times New Roman" w:hAnsi="Times New Roman" w:eastAsia="Times New Roman" w:cs="Times New Roman"/>
          <w:b/>
        </w:rPr>
      </w:pPr>
      <w:bookmarkStart w:id="0" w:name="_wspq3jjvoukw" w:colFirst="0" w:colLast="0"/>
      <w:bookmarkEnd w:id="0"/>
      <w:r>
        <w:rPr>
          <w:rFonts w:ascii="Times New Roman" w:hAnsi="Times New Roman" w:eastAsia="Times New Roman" w:cs="Times New Roman"/>
          <w:b/>
          <w:rtl w:val="0"/>
        </w:rPr>
        <w:t>Final Project Report</w:t>
      </w:r>
    </w:p>
    <w:p w14:paraId="00000002">
      <w:pPr>
        <w:pStyle w:val="2"/>
        <w:keepNext w:val="0"/>
        <w:keepLines w:val="0"/>
        <w:spacing w:after="80" w:line="480" w:lineRule="auto"/>
        <w:jc w:val="center"/>
        <w:rPr>
          <w:rFonts w:ascii="Times New Roman" w:hAnsi="Times New Roman" w:eastAsia="Times New Roman" w:cs="Times New Roman"/>
        </w:rPr>
      </w:pPr>
      <w:bookmarkStart w:id="1" w:name="_v9vfjyvtqmuj" w:colFirst="0" w:colLast="0"/>
      <w:bookmarkEnd w:id="1"/>
      <w:r>
        <w:rPr>
          <w:rFonts w:ascii="Times New Roman" w:hAnsi="Times New Roman" w:eastAsia="Times New Roman" w:cs="Times New Roman"/>
          <w:rtl w:val="0"/>
        </w:rPr>
        <w:t>IE 598 Structured Credit</w:t>
      </w:r>
    </w:p>
    <w:p w14:paraId="00000003">
      <w:pPr>
        <w:pStyle w:val="3"/>
        <w:keepNext w:val="0"/>
        <w:keepLines w:val="0"/>
        <w:spacing w:after="80" w:line="480" w:lineRule="auto"/>
        <w:jc w:val="center"/>
        <w:rPr>
          <w:rFonts w:ascii="Times New Roman" w:hAnsi="Times New Roman" w:eastAsia="Times New Roman" w:cs="Times New Roman"/>
          <w:sz w:val="26"/>
          <w:szCs w:val="26"/>
        </w:rPr>
      </w:pPr>
      <w:bookmarkStart w:id="2" w:name="_glig42p3vlty" w:colFirst="0" w:colLast="0"/>
      <w:bookmarkEnd w:id="2"/>
      <w:r>
        <w:rPr>
          <w:rFonts w:ascii="Times New Roman" w:hAnsi="Times New Roman" w:eastAsia="Times New Roman" w:cs="Times New Roman"/>
          <w:color w:val="000000"/>
          <w:sz w:val="26"/>
          <w:szCs w:val="26"/>
          <w:rtl w:val="0"/>
        </w:rPr>
        <w:t>Group: Chengjia Dong, Junru Wang, Yifan Meng</w:t>
      </w:r>
      <w:bookmarkStart w:id="24" w:name="_GoBack"/>
      <w:bookmarkEnd w:id="24"/>
    </w:p>
    <w:p w14:paraId="00000004">
      <w:pPr>
        <w:pStyle w:val="3"/>
        <w:keepNext w:val="0"/>
        <w:keepLines w:val="0"/>
        <w:spacing w:after="80" w:line="480" w:lineRule="auto"/>
        <w:jc w:val="center"/>
        <w:rPr>
          <w:rFonts w:ascii="Times New Roman" w:hAnsi="Times New Roman" w:eastAsia="Times New Roman" w:cs="Times New Roman"/>
          <w:color w:val="000000"/>
          <w:sz w:val="26"/>
          <w:szCs w:val="26"/>
        </w:rPr>
      </w:pPr>
      <w:bookmarkStart w:id="3" w:name="_y3ccgs8i5yj4" w:colFirst="0" w:colLast="0"/>
      <w:bookmarkEnd w:id="3"/>
      <w:r>
        <w:rPr>
          <w:rFonts w:ascii="Times New Roman" w:hAnsi="Times New Roman" w:eastAsia="Times New Roman" w:cs="Times New Roman"/>
          <w:color w:val="000000"/>
          <w:sz w:val="26"/>
          <w:szCs w:val="26"/>
          <w:rtl w:val="0"/>
        </w:rPr>
        <w:t>Instructor: Ishan Prasad</w:t>
      </w:r>
    </w:p>
    <w:p w14:paraId="00000005">
      <w:pPr>
        <w:pStyle w:val="3"/>
        <w:spacing w:line="480" w:lineRule="auto"/>
        <w:jc w:val="center"/>
        <w:rPr>
          <w:rFonts w:ascii="Times New Roman" w:hAnsi="Times New Roman" w:eastAsia="Times New Roman" w:cs="Times New Roman"/>
        </w:rPr>
      </w:pPr>
      <w:bookmarkStart w:id="4" w:name="_r11ix955fqu8" w:colFirst="0" w:colLast="0"/>
      <w:bookmarkEnd w:id="4"/>
      <w:r>
        <w:rPr>
          <w:rFonts w:ascii="Times New Roman" w:hAnsi="Times New Roman" w:eastAsia="Times New Roman" w:cs="Times New Roman"/>
          <w:rtl w:val="0"/>
        </w:rPr>
        <w:t>Dat</w:t>
      </w:r>
      <w:r>
        <w:rPr>
          <w:rFonts w:hint="eastAsia" w:ascii="Times New Roman" w:hAnsi="Times New Roman" w:eastAsia="宋体" w:cs="Times New Roman"/>
          <w:rtl w:val="0"/>
          <w:lang w:val="en-US" w:eastAsia="zh-CN"/>
        </w:rPr>
        <w:t>e</w:t>
      </w:r>
      <w:r>
        <w:rPr>
          <w:rFonts w:ascii="Times New Roman" w:hAnsi="Times New Roman" w:eastAsia="Times New Roman" w:cs="Times New Roman"/>
          <w:rtl w:val="0"/>
        </w:rPr>
        <w:t>:October/</w:t>
      </w:r>
      <w:r>
        <w:rPr>
          <w:rFonts w:hint="eastAsia" w:ascii="Times New Roman" w:hAnsi="Times New Roman" w:eastAsia="宋体" w:cs="Times New Roman"/>
          <w:rtl w:val="0"/>
          <w:lang w:val="en-US" w:eastAsia="zh-CN"/>
        </w:rPr>
        <w:t>20</w:t>
      </w:r>
      <w:r>
        <w:rPr>
          <w:rFonts w:ascii="Times New Roman" w:hAnsi="Times New Roman" w:eastAsia="Times New Roman" w:cs="Times New Roman"/>
          <w:rtl w:val="0"/>
        </w:rPr>
        <w:t>/2024</w:t>
      </w:r>
    </w:p>
    <w:p w14:paraId="00000006">
      <w:pPr>
        <w:spacing w:line="480" w:lineRule="auto"/>
        <w:rPr>
          <w:rFonts w:ascii="Times New Roman" w:hAnsi="Times New Roman" w:eastAsia="Times New Roman" w:cs="Times New Roman"/>
        </w:rPr>
      </w:pPr>
    </w:p>
    <w:p w14:paraId="00000007">
      <w:pPr>
        <w:spacing w:line="480" w:lineRule="auto"/>
        <w:rPr>
          <w:rFonts w:ascii="Times New Roman" w:hAnsi="Times New Roman" w:eastAsia="Times New Roman" w:cs="Times New Roman"/>
        </w:rPr>
      </w:pPr>
    </w:p>
    <w:p w14:paraId="00000008">
      <w:pPr>
        <w:spacing w:line="480" w:lineRule="auto"/>
        <w:rPr>
          <w:rFonts w:ascii="Times New Roman" w:hAnsi="Times New Roman" w:eastAsia="Times New Roman" w:cs="Times New Roman"/>
        </w:rPr>
      </w:pPr>
    </w:p>
    <w:p w14:paraId="00000009">
      <w:pPr>
        <w:spacing w:line="480" w:lineRule="auto"/>
        <w:rPr>
          <w:rFonts w:ascii="Times New Roman" w:hAnsi="Times New Roman" w:eastAsia="Times New Roman" w:cs="Times New Roman"/>
        </w:rPr>
      </w:pPr>
    </w:p>
    <w:p w14:paraId="0000000A">
      <w:pPr>
        <w:spacing w:line="480" w:lineRule="auto"/>
        <w:rPr>
          <w:rFonts w:ascii="Times New Roman" w:hAnsi="Times New Roman" w:eastAsia="Times New Roman" w:cs="Times New Roman"/>
        </w:rPr>
      </w:pPr>
    </w:p>
    <w:p w14:paraId="0000000B">
      <w:pPr>
        <w:spacing w:line="480" w:lineRule="auto"/>
        <w:rPr>
          <w:rFonts w:ascii="Times New Roman" w:hAnsi="Times New Roman" w:eastAsia="Times New Roman" w:cs="Times New Roman"/>
        </w:rPr>
      </w:pPr>
    </w:p>
    <w:p w14:paraId="0000000C">
      <w:pPr>
        <w:spacing w:line="480" w:lineRule="auto"/>
        <w:rPr>
          <w:rFonts w:ascii="Times New Roman" w:hAnsi="Times New Roman" w:eastAsia="Times New Roman" w:cs="Times New Roman"/>
        </w:rPr>
      </w:pPr>
    </w:p>
    <w:p w14:paraId="0000000D">
      <w:pPr>
        <w:spacing w:line="480" w:lineRule="auto"/>
        <w:rPr>
          <w:rFonts w:ascii="Times New Roman" w:hAnsi="Times New Roman" w:eastAsia="Times New Roman" w:cs="Times New Roman"/>
        </w:rPr>
      </w:pPr>
    </w:p>
    <w:p w14:paraId="0000000E">
      <w:pPr>
        <w:spacing w:line="480" w:lineRule="auto"/>
        <w:rPr>
          <w:rFonts w:ascii="Times New Roman" w:hAnsi="Times New Roman" w:eastAsia="Times New Roman" w:cs="Times New Roman"/>
        </w:rPr>
      </w:pPr>
    </w:p>
    <w:p w14:paraId="0000000F">
      <w:pPr>
        <w:spacing w:line="480" w:lineRule="auto"/>
        <w:rPr>
          <w:rFonts w:ascii="Times New Roman" w:hAnsi="Times New Roman" w:eastAsia="Times New Roman" w:cs="Times New Roman"/>
        </w:rPr>
      </w:pPr>
    </w:p>
    <w:p w14:paraId="00000010">
      <w:pPr>
        <w:spacing w:line="480" w:lineRule="auto"/>
        <w:rPr>
          <w:rFonts w:ascii="Times New Roman" w:hAnsi="Times New Roman" w:eastAsia="Times New Roman" w:cs="Times New Roman"/>
        </w:rPr>
      </w:pPr>
    </w:p>
    <w:p w14:paraId="00000011">
      <w:pPr>
        <w:spacing w:line="480" w:lineRule="auto"/>
        <w:rPr>
          <w:rFonts w:ascii="Times New Roman" w:hAnsi="Times New Roman" w:eastAsia="Times New Roman" w:cs="Times New Roman"/>
        </w:rPr>
      </w:pPr>
    </w:p>
    <w:p w14:paraId="00000012">
      <w:pPr>
        <w:spacing w:line="480" w:lineRule="auto"/>
        <w:rPr>
          <w:rFonts w:ascii="Times New Roman" w:hAnsi="Times New Roman" w:eastAsia="Times New Roman" w:cs="Times New Roman"/>
        </w:rPr>
      </w:pPr>
    </w:p>
    <w:p w14:paraId="00000013">
      <w:pPr>
        <w:spacing w:line="480" w:lineRule="auto"/>
        <w:rPr>
          <w:rFonts w:ascii="Times New Roman" w:hAnsi="Times New Roman" w:eastAsia="Times New Roman" w:cs="Times New Roman"/>
        </w:rPr>
      </w:pPr>
    </w:p>
    <w:p w14:paraId="00000014">
      <w:pPr>
        <w:spacing w:line="480" w:lineRule="auto"/>
        <w:rPr>
          <w:rFonts w:ascii="Times New Roman" w:hAnsi="Times New Roman" w:eastAsia="Times New Roman" w:cs="Times New Roman"/>
        </w:rPr>
      </w:pPr>
    </w:p>
    <w:p w14:paraId="00000015">
      <w:pPr>
        <w:spacing w:line="480" w:lineRule="auto"/>
        <w:rPr>
          <w:rFonts w:ascii="Times New Roman" w:hAnsi="Times New Roman" w:eastAsia="Times New Roman" w:cs="Times New Roman"/>
        </w:rPr>
      </w:pPr>
    </w:p>
    <w:p w14:paraId="00000016">
      <w:pPr>
        <w:spacing w:line="480" w:lineRule="auto"/>
        <w:rPr>
          <w:rFonts w:ascii="Times New Roman" w:hAnsi="Times New Roman" w:eastAsia="Times New Roman" w:cs="Times New Roman"/>
        </w:rPr>
      </w:pPr>
    </w:p>
    <w:p w14:paraId="00000017">
      <w:pPr>
        <w:pStyle w:val="8"/>
        <w:spacing w:line="480" w:lineRule="auto"/>
        <w:jc w:val="center"/>
        <w:rPr>
          <w:rFonts w:hint="default" w:ascii="Times New Roman" w:hAnsi="Times New Roman" w:eastAsia="宋体" w:cs="Times New Roman"/>
          <w:b/>
          <w:color w:val="000000"/>
          <w:lang w:val="en-US" w:eastAsia="zh-CN"/>
        </w:rPr>
      </w:pPr>
      <w:bookmarkStart w:id="5" w:name="_a5pv6tjrvcz7" w:colFirst="0" w:colLast="0"/>
      <w:bookmarkEnd w:id="5"/>
      <w:r>
        <w:rPr>
          <w:rFonts w:ascii="Times New Roman" w:hAnsi="Times New Roman" w:eastAsia="Times New Roman" w:cs="Times New Roman"/>
          <w:b/>
          <w:color w:val="000000"/>
          <w:rtl w:val="0"/>
        </w:rPr>
        <w:t>Part</w:t>
      </w:r>
      <w:r>
        <w:rPr>
          <w:rFonts w:hint="eastAsia" w:ascii="Times New Roman" w:hAnsi="Times New Roman" w:eastAsia="宋体" w:cs="Times New Roman"/>
          <w:b/>
          <w:color w:val="000000"/>
          <w:rtl w:val="0"/>
          <w:lang w:val="en-US" w:eastAsia="zh-CN"/>
        </w:rPr>
        <w:t xml:space="preserve"> </w:t>
      </w:r>
      <w:r>
        <w:rPr>
          <w:rFonts w:ascii="Times New Roman" w:hAnsi="Times New Roman" w:eastAsia="Times New Roman" w:cs="Times New Roman"/>
          <w:b/>
          <w:color w:val="000000"/>
          <w:rtl w:val="0"/>
        </w:rPr>
        <w:t>1</w:t>
      </w:r>
      <w:r>
        <w:rPr>
          <w:rFonts w:hint="eastAsia" w:ascii="Times New Roman" w:hAnsi="Times New Roman" w:eastAsia="宋体" w:cs="Times New Roman"/>
          <w:b/>
          <w:color w:val="000000"/>
          <w:rtl w:val="0"/>
          <w:lang w:val="en-US" w:eastAsia="zh-CN"/>
        </w:rPr>
        <w:t>: Prepayment Modeling</w:t>
      </w:r>
    </w:p>
    <w:p w14:paraId="00000018">
      <w:pPr>
        <w:spacing w:line="480" w:lineRule="auto"/>
        <w:rPr>
          <w:rFonts w:ascii="Times New Roman" w:hAnsi="Times New Roman" w:eastAsia="Times New Roman" w:cs="Times New Roman"/>
        </w:rPr>
      </w:pPr>
    </w:p>
    <w:p w14:paraId="00000019">
      <w:pPr>
        <w:pStyle w:val="4"/>
        <w:keepNext w:val="0"/>
        <w:keepLines w:val="0"/>
        <w:spacing w:before="280" w:line="480" w:lineRule="auto"/>
        <w:rPr>
          <w:rFonts w:ascii="Times New Roman" w:hAnsi="Times New Roman" w:eastAsia="Times New Roman" w:cs="Times New Roman"/>
          <w:b/>
          <w:color w:val="000000"/>
          <w:sz w:val="26"/>
          <w:szCs w:val="26"/>
        </w:rPr>
      </w:pPr>
      <w:bookmarkStart w:id="6" w:name="_ohebdfe18wib" w:colFirst="0" w:colLast="0"/>
      <w:bookmarkEnd w:id="6"/>
      <w:r>
        <w:rPr>
          <w:rFonts w:ascii="Times New Roman" w:hAnsi="Times New Roman" w:eastAsia="Times New Roman" w:cs="Times New Roman"/>
          <w:b/>
          <w:color w:val="000000"/>
          <w:sz w:val="26"/>
          <w:szCs w:val="26"/>
          <w:rtl w:val="0"/>
        </w:rPr>
        <w:t>Summary of Prepayment Rates (SMM) Based on Various Factors in 2015 and 2019</w:t>
      </w:r>
    </w:p>
    <w:p w14:paraId="0000001A">
      <w:pPr>
        <w:spacing w:before="240" w:after="240" w:line="480" w:lineRule="auto"/>
        <w:rPr>
          <w:rFonts w:ascii="Times New Roman" w:hAnsi="Times New Roman" w:eastAsia="Times New Roman" w:cs="Times New Roman"/>
        </w:rPr>
      </w:pPr>
      <w:r>
        <w:rPr>
          <w:rFonts w:ascii="Times New Roman" w:hAnsi="Times New Roman" w:eastAsia="Times New Roman" w:cs="Times New Roman"/>
          <w:rtl w:val="0"/>
        </w:rPr>
        <w:t>This report compares prepayment trends (Single Monthly Mortality or SMM) across key factors such as FICO score, loan balance (UPB), occupancy status, loan purpose, debt-to-income ratio (DTI), and property state in 2015 and 2019. The goal is to highlight key differences and similarities in borrower behavior in response to refinancing incentives.</w:t>
      </w:r>
    </w:p>
    <w:p w14:paraId="0000001B">
      <w:pPr>
        <w:pStyle w:val="4"/>
        <w:keepNext w:val="0"/>
        <w:keepLines w:val="0"/>
        <w:spacing w:before="280" w:line="480" w:lineRule="auto"/>
        <w:rPr>
          <w:rFonts w:ascii="Times New Roman" w:hAnsi="Times New Roman" w:eastAsia="Times New Roman" w:cs="Times New Roman"/>
          <w:b/>
          <w:color w:val="000000"/>
          <w:sz w:val="26"/>
          <w:szCs w:val="26"/>
        </w:rPr>
      </w:pPr>
      <w:bookmarkStart w:id="7" w:name="_vadthkbkbv8n" w:colFirst="0" w:colLast="0"/>
      <w:bookmarkEnd w:id="7"/>
      <w:r>
        <w:rPr>
          <w:rFonts w:ascii="Times New Roman" w:hAnsi="Times New Roman" w:eastAsia="Times New Roman" w:cs="Times New Roman"/>
          <w:b/>
          <w:color w:val="000000"/>
          <w:sz w:val="26"/>
          <w:szCs w:val="26"/>
          <w:rtl w:val="0"/>
        </w:rPr>
        <w:t>Key Findings</w:t>
      </w:r>
    </w:p>
    <w:p w14:paraId="0000001C">
      <w:pPr>
        <w:numPr>
          <w:ilvl w:val="0"/>
          <w:numId w:val="1"/>
        </w:numPr>
        <w:spacing w:before="240" w:after="0" w:afterAutospacing="0" w:line="480" w:lineRule="auto"/>
        <w:ind w:left="720" w:hanging="360"/>
      </w:pPr>
      <w:r>
        <w:rPr>
          <w:rFonts w:ascii="Times New Roman" w:hAnsi="Times New Roman" w:eastAsia="Times New Roman" w:cs="Times New Roman"/>
          <w:b/>
          <w:rtl w:val="0"/>
        </w:rPr>
        <w:t>Higher Prepayment Rates in 2019</w:t>
      </w:r>
      <w:r>
        <w:rPr>
          <w:rFonts w:ascii="Times New Roman" w:hAnsi="Times New Roman" w:eastAsia="Times New Roman" w:cs="Times New Roman"/>
          <w:rtl w:val="0"/>
        </w:rPr>
        <w:t>: Across all factors, prepayment rates were generally higher in 2019 compared to 2015. Borrowers, particularly those with high FICO scores and low DTI, exhibited greater sensitivity to refinancing incentives.</w:t>
      </w:r>
    </w:p>
    <w:p w14:paraId="0000001D">
      <w:pPr>
        <w:numPr>
          <w:ilvl w:val="0"/>
          <w:numId w:val="1"/>
        </w:numPr>
        <w:spacing w:before="0" w:beforeAutospacing="0" w:after="0" w:afterAutospacing="0" w:line="480" w:lineRule="auto"/>
        <w:ind w:left="720" w:hanging="360"/>
      </w:pPr>
      <w:r>
        <w:rPr>
          <w:rFonts w:ascii="Times New Roman" w:hAnsi="Times New Roman" w:eastAsia="Times New Roman" w:cs="Times New Roman"/>
          <w:b/>
          <w:rtl w:val="0"/>
        </w:rPr>
        <w:t>Key Similarities</w:t>
      </w:r>
      <w:r>
        <w:rPr>
          <w:rFonts w:ascii="Times New Roman" w:hAnsi="Times New Roman" w:eastAsia="Times New Roman" w:cs="Times New Roman"/>
          <w:rtl w:val="0"/>
        </w:rPr>
        <w:t>:</w:t>
      </w:r>
    </w:p>
    <w:p w14:paraId="0000001E">
      <w:pPr>
        <w:numPr>
          <w:ilvl w:val="1"/>
          <w:numId w:val="1"/>
        </w:numPr>
        <w:spacing w:before="0" w:beforeAutospacing="0" w:after="0" w:afterAutospacing="0" w:line="480" w:lineRule="auto"/>
        <w:ind w:left="1440" w:hanging="360"/>
      </w:pPr>
      <w:r>
        <w:rPr>
          <w:rFonts w:ascii="Times New Roman" w:hAnsi="Times New Roman" w:eastAsia="Times New Roman" w:cs="Times New Roman"/>
          <w:b/>
          <w:rtl w:val="0"/>
        </w:rPr>
        <w:t>Rising Prepayment with Increased Incentives</w:t>
      </w:r>
      <w:r>
        <w:rPr>
          <w:rFonts w:ascii="Times New Roman" w:hAnsi="Times New Roman" w:eastAsia="Times New Roman" w:cs="Times New Roman"/>
          <w:rtl w:val="0"/>
        </w:rPr>
        <w:t>: In both 2015 and 2019, prepayment rates rose as refinancing incentives increased. Borrowers in both years became more likely to prepay when incentives exceeded 50 bps.</w:t>
      </w:r>
    </w:p>
    <w:p w14:paraId="0000001F">
      <w:pPr>
        <w:numPr>
          <w:ilvl w:val="1"/>
          <w:numId w:val="1"/>
        </w:numPr>
        <w:spacing w:before="0" w:beforeAutospacing="0" w:after="0" w:afterAutospacing="0" w:line="480" w:lineRule="auto"/>
        <w:ind w:left="1440" w:hanging="360"/>
      </w:pPr>
      <w:r>
        <w:rPr>
          <w:rFonts w:ascii="Times New Roman" w:hAnsi="Times New Roman" w:eastAsia="Times New Roman" w:cs="Times New Roman"/>
          <w:b/>
          <w:rtl w:val="0"/>
        </w:rPr>
        <w:t>High Sensitivity Among Certain Segments</w:t>
      </w:r>
      <w:r>
        <w:rPr>
          <w:rFonts w:ascii="Times New Roman" w:hAnsi="Times New Roman" w:eastAsia="Times New Roman" w:cs="Times New Roman"/>
          <w:rtl w:val="0"/>
        </w:rPr>
        <w:t>:</w:t>
      </w:r>
    </w:p>
    <w:p w14:paraId="00000020">
      <w:pPr>
        <w:numPr>
          <w:ilvl w:val="2"/>
          <w:numId w:val="1"/>
        </w:numPr>
        <w:spacing w:before="0" w:beforeAutospacing="0" w:after="0" w:afterAutospacing="0" w:line="480" w:lineRule="auto"/>
        <w:ind w:left="2160" w:hanging="360"/>
        <w:rPr>
          <w:rFonts w:ascii="Times New Roman" w:hAnsi="Times New Roman" w:eastAsia="Times New Roman" w:cs="Times New Roman"/>
        </w:rPr>
      </w:pPr>
      <w:r>
        <w:rPr>
          <w:rFonts w:ascii="Times New Roman" w:hAnsi="Times New Roman" w:eastAsia="Times New Roman" w:cs="Times New Roman"/>
          <w:rtl w:val="0"/>
        </w:rPr>
        <w:t>Borrowers with FICO scores above 760 and investment properties showed the highest prepayment rates.</w:t>
      </w:r>
    </w:p>
    <w:p w14:paraId="00000021">
      <w:pPr>
        <w:numPr>
          <w:ilvl w:val="2"/>
          <w:numId w:val="1"/>
        </w:numPr>
        <w:spacing w:before="0" w:beforeAutospacing="0" w:after="0" w:afterAutospacing="0" w:line="480" w:lineRule="auto"/>
        <w:ind w:left="2160" w:hanging="360"/>
        <w:rPr>
          <w:rFonts w:ascii="Times New Roman" w:hAnsi="Times New Roman" w:eastAsia="Times New Roman" w:cs="Times New Roman"/>
        </w:rPr>
      </w:pPr>
      <w:r>
        <w:rPr>
          <w:rFonts w:ascii="Times New Roman" w:hAnsi="Times New Roman" w:eastAsia="Times New Roman" w:cs="Times New Roman"/>
          <w:rtl w:val="0"/>
        </w:rPr>
        <w:t>Refinance loans had consistently higher prepayment rates compared to purchase or cash-out loans.</w:t>
      </w:r>
    </w:p>
    <w:p w14:paraId="00000022">
      <w:pPr>
        <w:numPr>
          <w:ilvl w:val="0"/>
          <w:numId w:val="1"/>
        </w:numPr>
        <w:spacing w:before="0" w:beforeAutospacing="0" w:after="0" w:afterAutospacing="0" w:line="480" w:lineRule="auto"/>
        <w:ind w:left="720" w:hanging="360"/>
      </w:pPr>
      <w:r>
        <w:rPr>
          <w:rFonts w:ascii="Times New Roman" w:hAnsi="Times New Roman" w:eastAsia="Times New Roman" w:cs="Times New Roman"/>
          <w:b/>
          <w:rtl w:val="0"/>
        </w:rPr>
        <w:t>Key Differences</w:t>
      </w:r>
      <w:r>
        <w:rPr>
          <w:rFonts w:ascii="Times New Roman" w:hAnsi="Times New Roman" w:eastAsia="Times New Roman" w:cs="Times New Roman"/>
          <w:rtl w:val="0"/>
        </w:rPr>
        <w:t>:</w:t>
      </w:r>
    </w:p>
    <w:p w14:paraId="00000023">
      <w:pPr>
        <w:numPr>
          <w:ilvl w:val="1"/>
          <w:numId w:val="1"/>
        </w:numPr>
        <w:spacing w:before="0" w:beforeAutospacing="0" w:after="0" w:afterAutospacing="0" w:line="480" w:lineRule="auto"/>
        <w:ind w:left="1440" w:hanging="360"/>
      </w:pPr>
      <w:r>
        <w:rPr>
          <w:rFonts w:ascii="Times New Roman" w:hAnsi="Times New Roman" w:eastAsia="Times New Roman" w:cs="Times New Roman"/>
          <w:b/>
          <w:rtl w:val="0"/>
        </w:rPr>
        <w:t>Segment-Specific Trends</w:t>
      </w:r>
      <w:r>
        <w:rPr>
          <w:rFonts w:ascii="Times New Roman" w:hAnsi="Times New Roman" w:eastAsia="Times New Roman" w:cs="Times New Roman"/>
          <w:rtl w:val="0"/>
        </w:rPr>
        <w:t>:</w:t>
      </w:r>
    </w:p>
    <w:p w14:paraId="00000024">
      <w:pPr>
        <w:numPr>
          <w:ilvl w:val="2"/>
          <w:numId w:val="1"/>
        </w:numPr>
        <w:spacing w:before="0" w:beforeAutospacing="0" w:after="0" w:afterAutospacing="0" w:line="480" w:lineRule="auto"/>
        <w:ind w:left="2160" w:hanging="360"/>
        <w:rPr>
          <w:rFonts w:ascii="Times New Roman" w:hAnsi="Times New Roman" w:eastAsia="Times New Roman" w:cs="Times New Roman"/>
        </w:rPr>
      </w:pPr>
      <w:r>
        <w:rPr>
          <w:rFonts w:ascii="Times New Roman" w:hAnsi="Times New Roman" w:eastAsia="Times New Roman" w:cs="Times New Roman"/>
          <w:rtl w:val="0"/>
        </w:rPr>
        <w:t>In 2019, even high-DTI borrowers were more likely to prepay, narrowing the gap with low-DTI borrowers.</w:t>
      </w:r>
    </w:p>
    <w:p w14:paraId="00000025">
      <w:pPr>
        <w:numPr>
          <w:ilvl w:val="2"/>
          <w:numId w:val="1"/>
        </w:numPr>
        <w:spacing w:before="0" w:beforeAutospacing="0" w:after="0" w:afterAutospacing="0" w:line="480" w:lineRule="auto"/>
        <w:ind w:left="2160" w:hanging="360"/>
        <w:rPr>
          <w:rFonts w:ascii="Times New Roman" w:hAnsi="Times New Roman" w:eastAsia="Times New Roman" w:cs="Times New Roman"/>
        </w:rPr>
      </w:pPr>
      <w:r>
        <w:rPr>
          <w:rFonts w:ascii="Times New Roman" w:hAnsi="Times New Roman" w:eastAsia="Times New Roman" w:cs="Times New Roman"/>
          <w:rtl w:val="0"/>
        </w:rPr>
        <w:t>Purchase loans in 2019 saw a significant increase in prepayment rates, nearly reaching the levels of refinance loans at high incentive ranges.</w:t>
      </w:r>
    </w:p>
    <w:p w14:paraId="00000026">
      <w:pPr>
        <w:numPr>
          <w:ilvl w:val="0"/>
          <w:numId w:val="1"/>
        </w:numPr>
        <w:spacing w:before="0" w:beforeAutospacing="0" w:after="240" w:line="480" w:lineRule="auto"/>
        <w:ind w:left="720" w:hanging="360"/>
      </w:pPr>
      <w:r>
        <w:rPr>
          <w:rFonts w:ascii="Times New Roman" w:hAnsi="Times New Roman" w:eastAsia="Times New Roman" w:cs="Times New Roman"/>
          <w:b/>
          <w:rtl w:val="0"/>
        </w:rPr>
        <w:t>Regional Differences</w:t>
      </w:r>
      <w:r>
        <w:rPr>
          <w:rFonts w:ascii="Times New Roman" w:hAnsi="Times New Roman" w:eastAsia="Times New Roman" w:cs="Times New Roman"/>
          <w:rtl w:val="0"/>
        </w:rPr>
        <w:t>: Borrowers in states like Florida (FL) and Texas (TX) showed a more pronounced prepayment behavior in 2019 compared to 2015, while New York (NY) consistently had the lowest prepayment rates.</w:t>
      </w:r>
    </w:p>
    <w:p w14:paraId="00000027">
      <w:pPr>
        <w:spacing w:line="480" w:lineRule="auto"/>
        <w:rPr>
          <w:rFonts w:ascii="Times New Roman" w:hAnsi="Times New Roman" w:eastAsia="Times New Roman" w:cs="Times New Roman"/>
          <w:b/>
          <w:color w:val="000000"/>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28">
      <w:pPr>
        <w:pStyle w:val="4"/>
        <w:keepNext w:val="0"/>
        <w:keepLines w:val="0"/>
        <w:spacing w:before="280" w:line="480" w:lineRule="auto"/>
        <w:rPr>
          <w:rFonts w:ascii="Times New Roman" w:hAnsi="Times New Roman" w:eastAsia="Times New Roman" w:cs="Times New Roman"/>
          <w:b/>
          <w:color w:val="000000"/>
          <w:sz w:val="26"/>
          <w:szCs w:val="26"/>
        </w:rPr>
      </w:pPr>
      <w:bookmarkStart w:id="8" w:name="_uq2bl33x1a1y" w:colFirst="0" w:colLast="0"/>
      <w:bookmarkEnd w:id="8"/>
      <w:r>
        <w:rPr>
          <w:rFonts w:ascii="Times New Roman" w:hAnsi="Times New Roman" w:eastAsia="Times New Roman" w:cs="Times New Roman"/>
          <w:b/>
          <w:color w:val="000000"/>
          <w:sz w:val="26"/>
          <w:szCs w:val="26"/>
          <w:rtl w:val="0"/>
        </w:rPr>
        <w:t>Comparative Analysis of Prepayment Rates Based on Key Factors</w:t>
      </w:r>
    </w:p>
    <w:p w14:paraId="00000029">
      <w:pPr>
        <w:pStyle w:val="5"/>
        <w:keepNext w:val="0"/>
        <w:keepLines w:val="0"/>
        <w:spacing w:before="240" w:after="40" w:line="480" w:lineRule="auto"/>
        <w:rPr>
          <w:rFonts w:ascii="Times New Roman" w:hAnsi="Times New Roman" w:eastAsia="Times New Roman" w:cs="Times New Roman"/>
          <w:b/>
          <w:color w:val="000000"/>
          <w:sz w:val="22"/>
          <w:szCs w:val="22"/>
        </w:rPr>
      </w:pPr>
      <w:bookmarkStart w:id="9" w:name="_6wgyto2b7cif" w:colFirst="0" w:colLast="0"/>
      <w:bookmarkEnd w:id="9"/>
      <w:r>
        <w:rPr>
          <w:rFonts w:ascii="Times New Roman" w:hAnsi="Times New Roman" w:eastAsia="Times New Roman" w:cs="Times New Roman"/>
          <w:b/>
          <w:color w:val="000000"/>
          <w:sz w:val="22"/>
          <w:szCs w:val="22"/>
          <w:rtl w:val="0"/>
        </w:rPr>
        <w:t>1. FICO Scores and Refinancing Incentives</w:t>
      </w:r>
    </w:p>
    <w:p w14:paraId="0000002A">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2489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6"/>
                    <a:srcRect/>
                    <a:stretch>
                      <a:fillRect/>
                    </a:stretch>
                  </pic:blipFill>
                  <pic:spPr>
                    <a:xfrm>
                      <a:off x="0" y="0"/>
                      <a:ext cx="5731200" cy="2489200"/>
                    </a:xfrm>
                    <a:prstGeom prst="rect">
                      <a:avLst/>
                    </a:prstGeom>
                  </pic:spPr>
                </pic:pic>
              </a:graphicData>
            </a:graphic>
          </wp:inline>
        </w:drawing>
      </w:r>
    </w:p>
    <w:p w14:paraId="0000002B">
      <w:pPr>
        <w:numPr>
          <w:ilvl w:val="0"/>
          <w:numId w:val="2"/>
        </w:numPr>
        <w:spacing w:before="240" w:after="0" w:afterAutospacing="0" w:line="480" w:lineRule="auto"/>
        <w:ind w:left="720" w:hanging="360"/>
      </w:pPr>
      <w:r>
        <w:rPr>
          <w:rFonts w:ascii="Times New Roman" w:hAnsi="Times New Roman" w:eastAsia="Times New Roman" w:cs="Times New Roman"/>
          <w:b/>
          <w:rtl w:val="0"/>
        </w:rPr>
        <w:t>2015 vs. 2019</w:t>
      </w:r>
      <w:r>
        <w:rPr>
          <w:rFonts w:ascii="Times New Roman" w:hAnsi="Times New Roman" w:eastAsia="Times New Roman" w:cs="Times New Roman"/>
          <w:rtl w:val="0"/>
        </w:rPr>
        <w:t>: Borrowers with higher FICO scores (760+) showed a sharper increase in prepayment rates in both years, but rates were significantly higher in 2019, especially when incentives exceeded 150 bps.</w:t>
      </w:r>
    </w:p>
    <w:p w14:paraId="0000002C">
      <w:pPr>
        <w:numPr>
          <w:ilvl w:val="0"/>
          <w:numId w:val="2"/>
        </w:numPr>
        <w:spacing w:before="0" w:beforeAutospacing="0" w:after="240" w:line="480" w:lineRule="auto"/>
        <w:ind w:left="720" w:hanging="360"/>
      </w:pPr>
      <w:r>
        <w:rPr>
          <w:rFonts w:ascii="Times New Roman" w:hAnsi="Times New Roman" w:eastAsia="Times New Roman" w:cs="Times New Roman"/>
          <w:b/>
          <w:rtl w:val="0"/>
        </w:rPr>
        <w:t>Key Difference</w:t>
      </w:r>
      <w:r>
        <w:rPr>
          <w:rFonts w:ascii="Times New Roman" w:hAnsi="Times New Roman" w:eastAsia="Times New Roman" w:cs="Times New Roman"/>
          <w:rtl w:val="0"/>
        </w:rPr>
        <w:t>: In 2019, the gap between high- and low-FICO borrowers widened, reflecting a more pronounced response to refinancing opportunities.</w:t>
      </w:r>
    </w:p>
    <w:p w14:paraId="0000002D">
      <w:pPr>
        <w:pStyle w:val="5"/>
        <w:keepNext w:val="0"/>
        <w:keepLines w:val="0"/>
        <w:spacing w:before="240" w:after="40" w:line="480" w:lineRule="auto"/>
        <w:rPr>
          <w:rFonts w:ascii="Times New Roman" w:hAnsi="Times New Roman" w:eastAsia="Times New Roman" w:cs="Times New Roman"/>
          <w:b/>
          <w:color w:val="000000"/>
          <w:sz w:val="22"/>
          <w:szCs w:val="22"/>
        </w:rPr>
      </w:pPr>
      <w:bookmarkStart w:id="10" w:name="_tuzd449wviye" w:colFirst="0" w:colLast="0"/>
      <w:bookmarkEnd w:id="10"/>
      <w:r>
        <w:rPr>
          <w:rFonts w:ascii="Times New Roman" w:hAnsi="Times New Roman" w:eastAsia="Times New Roman" w:cs="Times New Roman"/>
          <w:b/>
          <w:color w:val="000000"/>
          <w:sz w:val="22"/>
          <w:szCs w:val="22"/>
          <w:rtl w:val="0"/>
        </w:rPr>
        <w:t>2. Loan Balance (UPB) and Refinancing Incentives</w:t>
      </w:r>
    </w:p>
    <w:p w14:paraId="0000002E">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25273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7"/>
                    <a:srcRect/>
                    <a:stretch>
                      <a:fillRect/>
                    </a:stretch>
                  </pic:blipFill>
                  <pic:spPr>
                    <a:xfrm>
                      <a:off x="0" y="0"/>
                      <a:ext cx="5731200" cy="2527300"/>
                    </a:xfrm>
                    <a:prstGeom prst="rect">
                      <a:avLst/>
                    </a:prstGeom>
                  </pic:spPr>
                </pic:pic>
              </a:graphicData>
            </a:graphic>
          </wp:inline>
        </w:drawing>
      </w:r>
    </w:p>
    <w:p w14:paraId="0000002F">
      <w:pPr>
        <w:numPr>
          <w:ilvl w:val="0"/>
          <w:numId w:val="3"/>
        </w:numPr>
        <w:spacing w:before="240" w:after="0" w:afterAutospacing="0" w:line="480" w:lineRule="auto"/>
        <w:ind w:left="720" w:hanging="360"/>
      </w:pPr>
      <w:r>
        <w:rPr>
          <w:rFonts w:ascii="Times New Roman" w:hAnsi="Times New Roman" w:eastAsia="Times New Roman" w:cs="Times New Roman"/>
          <w:b/>
          <w:rtl w:val="0"/>
        </w:rPr>
        <w:t>Larger Loans, Higher Prepayment</w:t>
      </w:r>
      <w:r>
        <w:rPr>
          <w:rFonts w:ascii="Times New Roman" w:hAnsi="Times New Roman" w:eastAsia="Times New Roman" w:cs="Times New Roman"/>
          <w:rtl w:val="0"/>
        </w:rPr>
        <w:t>: Borrowers with larger loans ($500k+) demonstrated greater sensitivity to refinancing incentives. In 2019, prepayment rates for large loans were higher than in 2015, especially in the 150+ bps range.</w:t>
      </w:r>
    </w:p>
    <w:p w14:paraId="00000030">
      <w:pPr>
        <w:numPr>
          <w:ilvl w:val="0"/>
          <w:numId w:val="3"/>
        </w:numPr>
        <w:spacing w:before="0" w:beforeAutospacing="0" w:after="240" w:line="480" w:lineRule="auto"/>
        <w:ind w:left="720" w:hanging="360"/>
      </w:pPr>
      <w:r>
        <w:rPr>
          <w:rFonts w:ascii="Times New Roman" w:hAnsi="Times New Roman" w:eastAsia="Times New Roman" w:cs="Times New Roman"/>
          <w:b/>
          <w:rtl w:val="0"/>
        </w:rPr>
        <w:t>Key Trend</w:t>
      </w:r>
      <w:r>
        <w:rPr>
          <w:rFonts w:ascii="Times New Roman" w:hAnsi="Times New Roman" w:eastAsia="Times New Roman" w:cs="Times New Roman"/>
          <w:rtl w:val="0"/>
        </w:rPr>
        <w:t>: In 2019, many high-loan borrowers refinanced early, leading to a decline in SMM after high incentives, a trend less noticeable in 2015.</w:t>
      </w:r>
    </w:p>
    <w:p w14:paraId="00000031">
      <w:pPr>
        <w:pStyle w:val="5"/>
        <w:keepNext w:val="0"/>
        <w:keepLines w:val="0"/>
        <w:spacing w:before="240" w:after="40" w:line="480" w:lineRule="auto"/>
        <w:rPr>
          <w:rFonts w:ascii="Times New Roman" w:hAnsi="Times New Roman" w:eastAsia="Times New Roman" w:cs="Times New Roman"/>
          <w:b/>
          <w:color w:val="000000"/>
          <w:sz w:val="22"/>
          <w:szCs w:val="22"/>
        </w:rPr>
      </w:pPr>
      <w:bookmarkStart w:id="11" w:name="_rbv2lq5h9n1u" w:colFirst="0" w:colLast="0"/>
      <w:bookmarkEnd w:id="11"/>
      <w:r>
        <w:rPr>
          <w:rFonts w:ascii="Times New Roman" w:hAnsi="Times New Roman" w:eastAsia="Times New Roman" w:cs="Times New Roman"/>
          <w:b/>
          <w:color w:val="000000"/>
          <w:sz w:val="22"/>
          <w:szCs w:val="22"/>
          <w:rtl w:val="0"/>
        </w:rPr>
        <w:t>3. Occupancy Status and Prepayment Rates</w:t>
      </w:r>
    </w:p>
    <w:p w14:paraId="00000032">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2540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8"/>
                    <a:srcRect/>
                    <a:stretch>
                      <a:fillRect/>
                    </a:stretch>
                  </pic:blipFill>
                  <pic:spPr>
                    <a:xfrm>
                      <a:off x="0" y="0"/>
                      <a:ext cx="5731200" cy="2540000"/>
                    </a:xfrm>
                    <a:prstGeom prst="rect">
                      <a:avLst/>
                    </a:prstGeom>
                  </pic:spPr>
                </pic:pic>
              </a:graphicData>
            </a:graphic>
          </wp:inline>
        </w:drawing>
      </w:r>
    </w:p>
    <w:p w14:paraId="00000033">
      <w:pPr>
        <w:numPr>
          <w:ilvl w:val="0"/>
          <w:numId w:val="4"/>
        </w:numPr>
        <w:spacing w:before="240" w:after="240" w:line="480" w:lineRule="auto"/>
        <w:ind w:left="720" w:hanging="360"/>
      </w:pPr>
      <w:r>
        <w:rPr>
          <w:rFonts w:ascii="Times New Roman" w:hAnsi="Times New Roman" w:eastAsia="Times New Roman" w:cs="Times New Roman"/>
          <w:b/>
          <w:rtl w:val="0"/>
        </w:rPr>
        <w:t>Investment Properties vs. Owner-Occupied</w:t>
      </w:r>
      <w:r>
        <w:rPr>
          <w:rFonts w:ascii="Times New Roman" w:hAnsi="Times New Roman" w:eastAsia="Times New Roman" w:cs="Times New Roman"/>
          <w:rtl w:val="0"/>
        </w:rPr>
        <w:t>: In both years, investment properties had the highest prepayment rates, while owner-occupied homes had the lowest. In 2019, owner-occupied borrowers showed a stronger response to higher incentives compared to 2015.</w:t>
      </w:r>
    </w:p>
    <w:p w14:paraId="00000034">
      <w:pPr>
        <w:pStyle w:val="5"/>
        <w:keepNext w:val="0"/>
        <w:keepLines w:val="0"/>
        <w:spacing w:before="240" w:after="40" w:line="480" w:lineRule="auto"/>
        <w:rPr>
          <w:rFonts w:ascii="Times New Roman" w:hAnsi="Times New Roman" w:eastAsia="Times New Roman" w:cs="Times New Roman"/>
          <w:b/>
          <w:color w:val="000000"/>
          <w:sz w:val="22"/>
          <w:szCs w:val="22"/>
        </w:rPr>
      </w:pPr>
      <w:bookmarkStart w:id="12" w:name="_kph8dwmzn939" w:colFirst="0" w:colLast="0"/>
      <w:bookmarkEnd w:id="12"/>
      <w:r>
        <w:rPr>
          <w:rFonts w:ascii="Times New Roman" w:hAnsi="Times New Roman" w:eastAsia="Times New Roman" w:cs="Times New Roman"/>
          <w:b/>
          <w:color w:val="000000"/>
          <w:sz w:val="22"/>
          <w:szCs w:val="22"/>
          <w:rtl w:val="0"/>
        </w:rPr>
        <w:t>4. Loan Purpose and Refinancing Sensitivity</w:t>
      </w:r>
    </w:p>
    <w:p w14:paraId="00000035">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24638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9"/>
                    <a:srcRect/>
                    <a:stretch>
                      <a:fillRect/>
                    </a:stretch>
                  </pic:blipFill>
                  <pic:spPr>
                    <a:xfrm>
                      <a:off x="0" y="0"/>
                      <a:ext cx="5731200" cy="2463800"/>
                    </a:xfrm>
                    <a:prstGeom prst="rect">
                      <a:avLst/>
                    </a:prstGeom>
                  </pic:spPr>
                </pic:pic>
              </a:graphicData>
            </a:graphic>
          </wp:inline>
        </w:drawing>
      </w:r>
    </w:p>
    <w:p w14:paraId="00000036">
      <w:pPr>
        <w:numPr>
          <w:ilvl w:val="0"/>
          <w:numId w:val="5"/>
        </w:numPr>
        <w:spacing w:before="240" w:after="240" w:line="480" w:lineRule="auto"/>
        <w:ind w:left="720" w:hanging="360"/>
      </w:pPr>
      <w:r>
        <w:rPr>
          <w:rFonts w:ascii="Times New Roman" w:hAnsi="Times New Roman" w:eastAsia="Times New Roman" w:cs="Times New Roman"/>
          <w:b/>
          <w:rtl w:val="0"/>
        </w:rPr>
        <w:t>Refinance Loans Dominate</w:t>
      </w:r>
      <w:r>
        <w:rPr>
          <w:rFonts w:ascii="Times New Roman" w:hAnsi="Times New Roman" w:eastAsia="Times New Roman" w:cs="Times New Roman"/>
          <w:rtl w:val="0"/>
        </w:rPr>
        <w:t>: Refinancing loans had the highest prepayment rates in both years. However, in 2019, purchase loans showed a notable increase in prepayment activity, narrowing the gap with refinance loans at higher incentives.</w:t>
      </w:r>
    </w:p>
    <w:p w14:paraId="00000037">
      <w:pPr>
        <w:pStyle w:val="5"/>
        <w:keepNext w:val="0"/>
        <w:keepLines w:val="0"/>
        <w:spacing w:before="240" w:after="40" w:line="480" w:lineRule="auto"/>
        <w:rPr>
          <w:rFonts w:ascii="Times New Roman" w:hAnsi="Times New Roman" w:eastAsia="Times New Roman" w:cs="Times New Roman"/>
          <w:b/>
          <w:color w:val="000000"/>
          <w:sz w:val="22"/>
          <w:szCs w:val="22"/>
        </w:rPr>
      </w:pPr>
      <w:bookmarkStart w:id="13" w:name="_8wc1f4wy3l9u" w:colFirst="0" w:colLast="0"/>
      <w:bookmarkEnd w:id="13"/>
      <w:r>
        <w:rPr>
          <w:rFonts w:ascii="Times New Roman" w:hAnsi="Times New Roman" w:eastAsia="Times New Roman" w:cs="Times New Roman"/>
          <w:b/>
          <w:color w:val="000000"/>
          <w:sz w:val="22"/>
          <w:szCs w:val="22"/>
          <w:rtl w:val="0"/>
        </w:rPr>
        <w:t>5. Debt-to-Income Ratio (DTI)</w:t>
      </w:r>
    </w:p>
    <w:p w14:paraId="00000038">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23749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0"/>
                    <a:srcRect/>
                    <a:stretch>
                      <a:fillRect/>
                    </a:stretch>
                  </pic:blipFill>
                  <pic:spPr>
                    <a:xfrm>
                      <a:off x="0" y="0"/>
                      <a:ext cx="5731200" cy="2374900"/>
                    </a:xfrm>
                    <a:prstGeom prst="rect">
                      <a:avLst/>
                    </a:prstGeom>
                  </pic:spPr>
                </pic:pic>
              </a:graphicData>
            </a:graphic>
          </wp:inline>
        </w:drawing>
      </w:r>
    </w:p>
    <w:p w14:paraId="00000039">
      <w:pPr>
        <w:numPr>
          <w:ilvl w:val="0"/>
          <w:numId w:val="6"/>
        </w:numPr>
        <w:spacing w:before="240" w:after="0" w:afterAutospacing="0" w:line="480" w:lineRule="auto"/>
        <w:ind w:left="720" w:hanging="360"/>
      </w:pPr>
      <w:r>
        <w:rPr>
          <w:rFonts w:ascii="Times New Roman" w:hAnsi="Times New Roman" w:eastAsia="Times New Roman" w:cs="Times New Roman"/>
          <w:b/>
          <w:rtl w:val="0"/>
        </w:rPr>
        <w:t>Low DTI, High Prepayment</w:t>
      </w:r>
      <w:r>
        <w:rPr>
          <w:rFonts w:ascii="Times New Roman" w:hAnsi="Times New Roman" w:eastAsia="Times New Roman" w:cs="Times New Roman"/>
          <w:rtl w:val="0"/>
        </w:rPr>
        <w:t>: Borrowers with low DTI ratios (&lt;20) prepay more frequently, and prepayment rates were higher in 2019 across all DTI ranges.</w:t>
      </w:r>
    </w:p>
    <w:p w14:paraId="0000003A">
      <w:pPr>
        <w:numPr>
          <w:ilvl w:val="0"/>
          <w:numId w:val="6"/>
        </w:numPr>
        <w:spacing w:before="0" w:beforeAutospacing="0" w:after="240" w:line="480" w:lineRule="auto"/>
        <w:ind w:left="720" w:hanging="360"/>
      </w:pPr>
      <w:r>
        <w:rPr>
          <w:rFonts w:ascii="Times New Roman" w:hAnsi="Times New Roman" w:eastAsia="Times New Roman" w:cs="Times New Roman"/>
          <w:b/>
          <w:rtl w:val="0"/>
        </w:rPr>
        <w:t>Notable Improvement</w:t>
      </w:r>
      <w:r>
        <w:rPr>
          <w:rFonts w:ascii="Times New Roman" w:hAnsi="Times New Roman" w:eastAsia="Times New Roman" w:cs="Times New Roman"/>
          <w:rtl w:val="0"/>
        </w:rPr>
        <w:t>: High-DTI borrowers (40+) showed improved prepayment behavior in 2019, reflecting increased refinancing opportunities.</w:t>
      </w:r>
    </w:p>
    <w:p w14:paraId="0000003B">
      <w:pPr>
        <w:spacing w:before="240" w:after="240" w:line="480" w:lineRule="auto"/>
        <w:rPr>
          <w:rFonts w:ascii="Times New Roman" w:hAnsi="Times New Roman" w:eastAsia="Times New Roman" w:cs="Times New Roman"/>
        </w:rPr>
      </w:pPr>
    </w:p>
    <w:p w14:paraId="0000003C">
      <w:pPr>
        <w:pStyle w:val="4"/>
        <w:keepNext w:val="0"/>
        <w:keepLines w:val="0"/>
        <w:spacing w:before="280" w:line="480" w:lineRule="auto"/>
        <w:rPr>
          <w:rFonts w:ascii="Times New Roman" w:hAnsi="Times New Roman" w:eastAsia="Times New Roman" w:cs="Times New Roman"/>
          <w:b/>
          <w:sz w:val="24"/>
          <w:szCs w:val="24"/>
        </w:rPr>
      </w:pPr>
      <w:bookmarkStart w:id="14" w:name="_y4f2hy3hvkkw" w:colFirst="0" w:colLast="0"/>
      <w:bookmarkEnd w:id="14"/>
      <w:r>
        <w:rPr>
          <w:rFonts w:ascii="Times New Roman" w:hAnsi="Times New Roman" w:eastAsia="Times New Roman" w:cs="Times New Roman"/>
          <w:b/>
          <w:color w:val="000000"/>
          <w:sz w:val="26"/>
          <w:szCs w:val="26"/>
          <w:rtl w:val="0"/>
        </w:rPr>
        <w:t>Analysis of Adjusted Contract Prepayment Rate (CPR) from Jan 2015 to Dec 2019</w:t>
      </w:r>
    </w:p>
    <w:p w14:paraId="0000003D">
      <w:pPr>
        <w:spacing w:before="240" w:after="240" w:line="480" w:lineRule="auto"/>
        <w:rPr>
          <w:rFonts w:ascii="Times New Roman" w:hAnsi="Times New Roman" w:eastAsia="Times New Roman" w:cs="Times New Roman"/>
          <w:b/>
          <w:color w:val="000000"/>
          <w:sz w:val="26"/>
          <w:szCs w:val="26"/>
        </w:rPr>
      </w:pPr>
      <w:r>
        <w:rPr>
          <w:rFonts w:ascii="Times New Roman" w:hAnsi="Times New Roman" w:eastAsia="Times New Roman" w:cs="Times New Roman"/>
        </w:rPr>
        <w:drawing>
          <wp:inline distT="114300" distB="114300" distL="114300" distR="114300">
            <wp:extent cx="5730875" cy="2806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1"/>
                    <a:srcRect/>
                    <a:stretch>
                      <a:fillRect/>
                    </a:stretch>
                  </pic:blipFill>
                  <pic:spPr>
                    <a:xfrm>
                      <a:off x="0" y="0"/>
                      <a:ext cx="5731200" cy="2806700"/>
                    </a:xfrm>
                    <a:prstGeom prst="rect">
                      <a:avLst/>
                    </a:prstGeom>
                  </pic:spPr>
                </pic:pic>
              </a:graphicData>
            </a:graphic>
          </wp:inline>
        </w:drawing>
      </w:r>
    </w:p>
    <w:p w14:paraId="0000003E">
      <w:pPr>
        <w:spacing w:before="240" w:after="240" w:line="480" w:lineRule="auto"/>
        <w:rPr>
          <w:rFonts w:ascii="Times New Roman" w:hAnsi="Times New Roman" w:eastAsia="Times New Roman" w:cs="Times New Roman"/>
        </w:rPr>
      </w:pPr>
      <w:r>
        <w:rPr>
          <w:rFonts w:ascii="Times New Roman" w:hAnsi="Times New Roman" w:eastAsia="Times New Roman" w:cs="Times New Roman"/>
          <w:rtl w:val="0"/>
        </w:rPr>
        <w:t>The graph shows the upward trend in Adjusted Contract Prepayment Rate (CPR) from 2015 to 2019. Key insights include:</w:t>
      </w:r>
    </w:p>
    <w:p w14:paraId="0000003F">
      <w:pPr>
        <w:numPr>
          <w:ilvl w:val="0"/>
          <w:numId w:val="7"/>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Overall Trend</w:t>
      </w:r>
      <w:r>
        <w:rPr>
          <w:rFonts w:ascii="Times New Roman" w:hAnsi="Times New Roman" w:eastAsia="Times New Roman" w:cs="Times New Roman"/>
          <w:rtl w:val="0"/>
        </w:rPr>
        <w:t>: CPR steadily increased from near 0% in early 2015 to around 0.06% by the end of 2019, indicating that more borrowers chose to prepay over time, likely due to favorable market conditions and refinancing opportunities.</w:t>
      </w:r>
    </w:p>
    <w:p w14:paraId="00000040">
      <w:pPr>
        <w:numPr>
          <w:ilvl w:val="0"/>
          <w:numId w:val="7"/>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Seasonal Fluctuations</w:t>
      </w:r>
      <w:r>
        <w:rPr>
          <w:rFonts w:ascii="Times New Roman" w:hAnsi="Times New Roman" w:eastAsia="Times New Roman" w:cs="Times New Roman"/>
          <w:rtl w:val="0"/>
        </w:rPr>
        <w:t>: The CPR displays a clear seasonal pattern, with peaks in the summer months (June to August) and troughs in the winter (December to February), reflecting higher refinancing activity in the warmer months.</w:t>
      </w:r>
    </w:p>
    <w:p w14:paraId="00000041">
      <w:pPr>
        <w:numPr>
          <w:ilvl w:val="0"/>
          <w:numId w:val="7"/>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Peaks and Valleys</w:t>
      </w:r>
      <w:r>
        <w:rPr>
          <w:rFonts w:ascii="Times New Roman" w:hAnsi="Times New Roman" w:eastAsia="Times New Roman" w:cs="Times New Roman"/>
          <w:rtl w:val="0"/>
        </w:rPr>
        <w:t>: Peaks in 2017-2019 suggest periods of favorable economic conditions or lower interest rates driving more prepayments, while winter months consistently show lower activity.</w:t>
      </w:r>
    </w:p>
    <w:p w14:paraId="00000042">
      <w:pPr>
        <w:numPr>
          <w:ilvl w:val="0"/>
          <w:numId w:val="7"/>
        </w:numPr>
        <w:spacing w:before="0" w:beforeAutospacing="0" w:after="24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Market Impact</w:t>
      </w:r>
      <w:r>
        <w:rPr>
          <w:rFonts w:ascii="Times New Roman" w:hAnsi="Times New Roman" w:eastAsia="Times New Roman" w:cs="Times New Roman"/>
          <w:rtl w:val="0"/>
        </w:rPr>
        <w:t>: The rise in CPR throughout the period is likely driven by lower interest rates and improved refinancing options, enabling borrowers to take advantage of better loan terms.</w:t>
      </w:r>
    </w:p>
    <w:p w14:paraId="00000043">
      <w:pPr>
        <w:pStyle w:val="4"/>
        <w:spacing w:before="240" w:after="240" w:line="480" w:lineRule="auto"/>
        <w:rPr>
          <w:rFonts w:ascii="Times New Roman" w:hAnsi="Times New Roman" w:eastAsia="Times New Roman" w:cs="Times New Roman"/>
          <w:b/>
          <w:color w:val="000000"/>
        </w:rPr>
      </w:pPr>
      <w:bookmarkStart w:id="15" w:name="_t6plijtx97kv" w:colFirst="0" w:colLast="0"/>
      <w:bookmarkEnd w:id="15"/>
      <w:r>
        <w:rPr>
          <w:rFonts w:ascii="Times New Roman" w:hAnsi="Times New Roman" w:eastAsia="Times New Roman" w:cs="Times New Roman"/>
          <w:b/>
          <w:color w:val="000000"/>
          <w:rtl w:val="0"/>
        </w:rPr>
        <w:t>Lock-in effect</w:t>
      </w:r>
    </w:p>
    <w:p w14:paraId="00000044">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924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2"/>
                    <a:srcRect/>
                    <a:stretch>
                      <a:fillRect/>
                    </a:stretch>
                  </pic:blipFill>
                  <pic:spPr>
                    <a:xfrm>
                      <a:off x="0" y="0"/>
                      <a:ext cx="5731200" cy="3924300"/>
                    </a:xfrm>
                    <a:prstGeom prst="rect">
                      <a:avLst/>
                    </a:prstGeom>
                  </pic:spPr>
                </pic:pic>
              </a:graphicData>
            </a:graphic>
          </wp:inline>
        </w:drawing>
      </w:r>
    </w:p>
    <w:p w14:paraId="00000045">
      <w:pPr>
        <w:spacing w:before="240" w:after="240" w:line="480" w:lineRule="auto"/>
        <w:rPr>
          <w:rFonts w:ascii="Times New Roman" w:hAnsi="Times New Roman" w:eastAsia="Times New Roman" w:cs="Times New Roman"/>
          <w:b/>
          <w:color w:val="000000"/>
          <w:sz w:val="26"/>
          <w:szCs w:val="26"/>
        </w:rPr>
      </w:pPr>
      <w:r>
        <w:rPr>
          <w:rFonts w:ascii="Times New Roman" w:hAnsi="Times New Roman" w:eastAsia="Times New Roman" w:cs="Times New Roman"/>
          <w:rtl w:val="0"/>
        </w:rPr>
        <w:t xml:space="preserve">This graph illustrates the </w:t>
      </w:r>
      <w:r>
        <w:rPr>
          <w:rFonts w:ascii="Times New Roman" w:hAnsi="Times New Roman" w:eastAsia="Times New Roman" w:cs="Times New Roman"/>
          <w:b/>
          <w:rtl w:val="0"/>
        </w:rPr>
        <w:t>lock-in effect across different incentive groups</w:t>
      </w:r>
      <w:r>
        <w:rPr>
          <w:rFonts w:ascii="Times New Roman" w:hAnsi="Times New Roman" w:eastAsia="Times New Roman" w:cs="Times New Roman"/>
          <w:rtl w:val="0"/>
        </w:rPr>
        <w:t xml:space="preserve"> and shows how prepayment rates (SMM) change with loan age (in months) under varying interest rate incentives.</w:t>
      </w:r>
    </w:p>
    <w:p w14:paraId="00000046">
      <w:pPr>
        <w:numPr>
          <w:ilvl w:val="0"/>
          <w:numId w:val="8"/>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Interest Rate Incentives</w:t>
      </w:r>
      <w:r>
        <w:rPr>
          <w:rFonts w:ascii="Times New Roman" w:hAnsi="Times New Roman" w:eastAsia="Times New Roman" w:cs="Times New Roman"/>
          <w:rtl w:val="0"/>
        </w:rPr>
        <w:t>:</w:t>
      </w:r>
    </w:p>
    <w:p w14:paraId="00000047">
      <w:pPr>
        <w:numPr>
          <w:ilvl w:val="1"/>
          <w:numId w:val="8"/>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 xml:space="preserve">The lines represent different interest rate incentives ranging from </w:t>
      </w:r>
      <w:r>
        <w:rPr>
          <w:rFonts w:ascii="Times New Roman" w:hAnsi="Times New Roman" w:eastAsia="Times New Roman" w:cs="Times New Roman"/>
          <w:b/>
          <w:rtl w:val="0"/>
        </w:rPr>
        <w:t>-60 bps to -10 bps</w:t>
      </w:r>
      <w:r>
        <w:rPr>
          <w:rFonts w:ascii="Times New Roman" w:hAnsi="Times New Roman" w:eastAsia="Times New Roman" w:cs="Times New Roman"/>
          <w:rtl w:val="0"/>
        </w:rPr>
        <w:t xml:space="preserve"> (negative incentives), meaning current market rates are lower than the original loan rates, providing more incentive to refinance.</w:t>
      </w:r>
    </w:p>
    <w:p w14:paraId="00000048">
      <w:pPr>
        <w:numPr>
          <w:ilvl w:val="1"/>
          <w:numId w:val="8"/>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 xml:space="preserve">The </w:t>
      </w:r>
      <w:r>
        <w:rPr>
          <w:rFonts w:ascii="Times New Roman" w:hAnsi="Times New Roman" w:eastAsia="Times New Roman" w:cs="Times New Roman"/>
          <w:b/>
          <w:rtl w:val="0"/>
        </w:rPr>
        <w:t>base curve</w:t>
      </w:r>
      <w:r>
        <w:rPr>
          <w:rFonts w:ascii="Times New Roman" w:hAnsi="Times New Roman" w:eastAsia="Times New Roman" w:cs="Times New Roman"/>
          <w:rtl w:val="0"/>
        </w:rPr>
        <w:t xml:space="preserve"> represents no incentive, showing minimal prepayment.</w:t>
      </w:r>
    </w:p>
    <w:p w14:paraId="00000049">
      <w:pPr>
        <w:numPr>
          <w:ilvl w:val="0"/>
          <w:numId w:val="8"/>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Prepayment Rates Increase with Loan Age</w:t>
      </w:r>
      <w:r>
        <w:rPr>
          <w:rFonts w:ascii="Times New Roman" w:hAnsi="Times New Roman" w:eastAsia="Times New Roman" w:cs="Times New Roman"/>
          <w:rtl w:val="0"/>
        </w:rPr>
        <w:t>:</w:t>
      </w:r>
    </w:p>
    <w:p w14:paraId="0000004A">
      <w:pPr>
        <w:numPr>
          <w:ilvl w:val="1"/>
          <w:numId w:val="8"/>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 xml:space="preserve">For </w:t>
      </w:r>
      <w:r>
        <w:rPr>
          <w:rFonts w:ascii="Times New Roman" w:hAnsi="Times New Roman" w:eastAsia="Times New Roman" w:cs="Times New Roman"/>
          <w:b/>
          <w:rtl w:val="0"/>
        </w:rPr>
        <w:t>higher incentives</w:t>
      </w:r>
      <w:r>
        <w:rPr>
          <w:rFonts w:ascii="Times New Roman" w:hAnsi="Times New Roman" w:eastAsia="Times New Roman" w:cs="Times New Roman"/>
          <w:rtl w:val="0"/>
        </w:rPr>
        <w:t xml:space="preserve"> (e.g., -10 bps, purple line), the prepayment rate rises quickly around 550 months, indicating stronger borrower motivation to refinance.</w:t>
      </w:r>
    </w:p>
    <w:p w14:paraId="0000004B">
      <w:pPr>
        <w:numPr>
          <w:ilvl w:val="1"/>
          <w:numId w:val="8"/>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b/>
          <w:rtl w:val="0"/>
        </w:rPr>
        <w:t>Lower incentives</w:t>
      </w:r>
      <w:r>
        <w:rPr>
          <w:rFonts w:ascii="Times New Roman" w:hAnsi="Times New Roman" w:eastAsia="Times New Roman" w:cs="Times New Roman"/>
          <w:rtl w:val="0"/>
        </w:rPr>
        <w:t xml:space="preserve"> (e.g., -50 to -60 bps, blue and orange lines) show slower prepayment increases, with rates stabilizing around 600 months.</w:t>
      </w:r>
    </w:p>
    <w:p w14:paraId="0000004C">
      <w:pPr>
        <w:numPr>
          <w:ilvl w:val="0"/>
          <w:numId w:val="8"/>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Lock-in Effect</w:t>
      </w:r>
      <w:r>
        <w:rPr>
          <w:rFonts w:ascii="Times New Roman" w:hAnsi="Times New Roman" w:eastAsia="Times New Roman" w:cs="Times New Roman"/>
          <w:rtl w:val="0"/>
        </w:rPr>
        <w:t>:</w:t>
      </w:r>
    </w:p>
    <w:p w14:paraId="0000004D">
      <w:pPr>
        <w:numPr>
          <w:ilvl w:val="1"/>
          <w:numId w:val="8"/>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b/>
          <w:rtl w:val="0"/>
        </w:rPr>
        <w:t>Higher incentives</w:t>
      </w:r>
      <w:r>
        <w:rPr>
          <w:rFonts w:ascii="Times New Roman" w:hAnsi="Times New Roman" w:eastAsia="Times New Roman" w:cs="Times New Roman"/>
          <w:rtl w:val="0"/>
        </w:rPr>
        <w:t xml:space="preserve"> result in earlier and faster prepayments, while </w:t>
      </w:r>
      <w:r>
        <w:rPr>
          <w:rFonts w:ascii="Times New Roman" w:hAnsi="Times New Roman" w:eastAsia="Times New Roman" w:cs="Times New Roman"/>
          <w:b/>
          <w:rtl w:val="0"/>
        </w:rPr>
        <w:t>lower incentives</w:t>
      </w:r>
      <w:r>
        <w:rPr>
          <w:rFonts w:ascii="Times New Roman" w:hAnsi="Times New Roman" w:eastAsia="Times New Roman" w:cs="Times New Roman"/>
          <w:rtl w:val="0"/>
        </w:rPr>
        <w:t xml:space="preserve"> demonstrate a stronger lock-in effect, where borrowers are less motivated to prepay and prefer to stay with their current loan.</w:t>
      </w:r>
    </w:p>
    <w:p w14:paraId="0000004E">
      <w:pPr>
        <w:numPr>
          <w:ilvl w:val="0"/>
          <w:numId w:val="8"/>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Plateau</w:t>
      </w:r>
      <w:r>
        <w:rPr>
          <w:rFonts w:ascii="Times New Roman" w:hAnsi="Times New Roman" w:eastAsia="Times New Roman" w:cs="Times New Roman"/>
          <w:rtl w:val="0"/>
        </w:rPr>
        <w:t>:</w:t>
      </w:r>
    </w:p>
    <w:p w14:paraId="0000004F">
      <w:pPr>
        <w:numPr>
          <w:ilvl w:val="1"/>
          <w:numId w:val="8"/>
        </w:numPr>
        <w:spacing w:before="0" w:beforeAutospacing="0" w:after="24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All curves flatten around 600 months, indicating that beyond this point, additional loan age has little impact on prepayment behavior.</w:t>
      </w:r>
    </w:p>
    <w:p w14:paraId="00000050">
      <w:pPr>
        <w:spacing w:before="240" w:after="240" w:line="480" w:lineRule="auto"/>
        <w:rPr>
          <w:rFonts w:ascii="Times New Roman" w:hAnsi="Times New Roman" w:eastAsia="Times New Roman" w:cs="Times New Roman"/>
          <w:b/>
        </w:rPr>
      </w:pPr>
      <w:r>
        <w:rPr>
          <w:rFonts w:ascii="Times New Roman" w:hAnsi="Times New Roman" w:eastAsia="Times New Roman" w:cs="Times New Roman"/>
          <w:rtl w:val="0"/>
        </w:rPr>
        <w:t>The stronger incentives drive quicker prepayment behavior, while lower incentives create a greater lock-in effect, with borrowers staying longer in their original loans.</w:t>
      </w:r>
    </w:p>
    <w:p w14:paraId="00000051">
      <w:pPr>
        <w:pStyle w:val="4"/>
        <w:keepNext w:val="0"/>
        <w:keepLines w:val="0"/>
        <w:shd w:val="clear" w:fill="FFFFFF"/>
        <w:spacing w:before="240" w:after="240" w:line="480" w:lineRule="auto"/>
        <w:rPr>
          <w:rFonts w:ascii="Times New Roman" w:hAnsi="Times New Roman" w:eastAsia="Times New Roman" w:cs="Times New Roman"/>
          <w:b/>
          <w:color w:val="000000"/>
        </w:rPr>
      </w:pPr>
      <w:bookmarkStart w:id="16" w:name="_wjjgy3lb0c24" w:colFirst="0" w:colLast="0"/>
      <w:bookmarkEnd w:id="16"/>
      <w:r>
        <w:rPr>
          <w:rFonts w:ascii="Times New Roman" w:hAnsi="Times New Roman" w:eastAsia="Times New Roman" w:cs="Times New Roman"/>
          <w:b/>
          <w:color w:val="000000"/>
          <w:rtl w:val="0"/>
        </w:rPr>
        <w:t>Curtailment</w:t>
      </w:r>
    </w:p>
    <w:p w14:paraId="00000052">
      <w:pPr>
        <w:pStyle w:val="4"/>
        <w:keepNext w:val="0"/>
        <w:keepLines w:val="0"/>
        <w:spacing w:before="280" w:line="480" w:lineRule="auto"/>
      </w:pPr>
      <w:bookmarkStart w:id="17" w:name="_nz3ogxhg0ocv" w:colFirst="0" w:colLast="0"/>
      <w:bookmarkEnd w:id="17"/>
      <w:r>
        <w:rPr>
          <w:rFonts w:ascii="Times New Roman" w:hAnsi="Times New Roman" w:eastAsia="Times New Roman" w:cs="Times New Roman"/>
          <w:b/>
          <w:color w:val="000000"/>
          <w:sz w:val="26"/>
          <w:szCs w:val="26"/>
          <w:rtl w:val="0"/>
        </w:rPr>
        <w:t>Analysis of the Graph:</w:t>
      </w:r>
    </w:p>
    <w:p w14:paraId="00000053">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690745" cy="29298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3"/>
                    <a:srcRect/>
                    <a:stretch>
                      <a:fillRect/>
                    </a:stretch>
                  </pic:blipFill>
                  <pic:spPr>
                    <a:xfrm>
                      <a:off x="0" y="0"/>
                      <a:ext cx="4691063" cy="2930407"/>
                    </a:xfrm>
                    <a:prstGeom prst="rect">
                      <a:avLst/>
                    </a:prstGeom>
                  </pic:spPr>
                </pic:pic>
              </a:graphicData>
            </a:graphic>
          </wp:inline>
        </w:drawing>
      </w:r>
    </w:p>
    <w:p w14:paraId="00000054">
      <w:pPr>
        <w:numPr>
          <w:ilvl w:val="0"/>
          <w:numId w:val="9"/>
        </w:numPr>
        <w:spacing w:before="240" w:after="0" w:afterAutospacing="0" w:line="480" w:lineRule="auto"/>
        <w:ind w:left="720" w:hanging="360"/>
      </w:pPr>
      <w:r>
        <w:rPr>
          <w:rFonts w:ascii="Times New Roman" w:hAnsi="Times New Roman" w:eastAsia="Times New Roman" w:cs="Times New Roman"/>
          <w:b/>
          <w:rtl w:val="0"/>
        </w:rPr>
        <w:t>CPR and Loan Age Relationship</w:t>
      </w:r>
      <w:r>
        <w:rPr>
          <w:rFonts w:ascii="Times New Roman" w:hAnsi="Times New Roman" w:eastAsia="Times New Roman" w:cs="Times New Roman"/>
          <w:rtl w:val="0"/>
        </w:rPr>
        <w:t>:</w:t>
      </w:r>
    </w:p>
    <w:p w14:paraId="00000055">
      <w:pPr>
        <w:numPr>
          <w:ilvl w:val="1"/>
          <w:numId w:val="9"/>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The graph shows how the Curtailment Prepayment Rate (CPR) changes as the loan age increases.</w:t>
      </w:r>
    </w:p>
    <w:p w14:paraId="00000056">
      <w:pPr>
        <w:numPr>
          <w:ilvl w:val="1"/>
          <w:numId w:val="9"/>
        </w:numPr>
        <w:spacing w:before="0" w:beforeAutospacing="0" w:after="0" w:afterAutospacing="0" w:line="480" w:lineRule="auto"/>
        <w:ind w:left="1440" w:hanging="360"/>
      </w:pPr>
      <w:r>
        <w:rPr>
          <w:rFonts w:ascii="Times New Roman" w:hAnsi="Times New Roman" w:eastAsia="Times New Roman" w:cs="Times New Roman"/>
          <w:b/>
          <w:rtl w:val="0"/>
        </w:rPr>
        <w:t>Initial Growth</w:t>
      </w:r>
      <w:r>
        <w:rPr>
          <w:rFonts w:ascii="Times New Roman" w:hAnsi="Times New Roman" w:eastAsia="Times New Roman" w:cs="Times New Roman"/>
          <w:rtl w:val="0"/>
        </w:rPr>
        <w:t>: As the loan age reaches around 20-25 months, the CPR starts to increase gradually, indicating more borrowers are making extra principal payments.</w:t>
      </w:r>
    </w:p>
    <w:p w14:paraId="00000057">
      <w:pPr>
        <w:numPr>
          <w:ilvl w:val="1"/>
          <w:numId w:val="9"/>
        </w:numPr>
        <w:spacing w:before="0" w:beforeAutospacing="0" w:after="0" w:afterAutospacing="0" w:line="480" w:lineRule="auto"/>
        <w:ind w:left="1440" w:hanging="360"/>
      </w:pPr>
      <w:r>
        <w:rPr>
          <w:rFonts w:ascii="Times New Roman" w:hAnsi="Times New Roman" w:eastAsia="Times New Roman" w:cs="Times New Roman"/>
          <w:b/>
          <w:rtl w:val="0"/>
        </w:rPr>
        <w:t>Sharp Spike</w:t>
      </w:r>
      <w:r>
        <w:rPr>
          <w:rFonts w:ascii="Times New Roman" w:hAnsi="Times New Roman" w:eastAsia="Times New Roman" w:cs="Times New Roman"/>
          <w:rtl w:val="0"/>
        </w:rPr>
        <w:t>: A significant spike in CPR occurs around the 30-month mark, where it reaches over 40%. This suggests that a large portion of borrowers decide to curtail at this point, possibly due to specific financial incentives or milestones.</w:t>
      </w:r>
    </w:p>
    <w:p w14:paraId="00000058">
      <w:pPr>
        <w:numPr>
          <w:ilvl w:val="1"/>
          <w:numId w:val="9"/>
        </w:numPr>
        <w:spacing w:before="0" w:beforeAutospacing="0" w:after="240" w:line="480" w:lineRule="auto"/>
        <w:ind w:left="1440" w:hanging="360"/>
      </w:pPr>
      <w:r>
        <w:rPr>
          <w:rFonts w:ascii="Times New Roman" w:hAnsi="Times New Roman" w:eastAsia="Times New Roman" w:cs="Times New Roman"/>
          <w:b/>
          <w:rtl w:val="0"/>
        </w:rPr>
        <w:t>Plateau</w:t>
      </w:r>
      <w:r>
        <w:rPr>
          <w:rFonts w:ascii="Times New Roman" w:hAnsi="Times New Roman" w:eastAsia="Times New Roman" w:cs="Times New Roman"/>
          <w:rtl w:val="0"/>
        </w:rPr>
        <w:t>: After the sharp increase, the CPR stabilizes at a high rate and remains constant beyond the 30-month mark, implying that borrowers continue to make partial prepayments at a consistent rate.</w:t>
      </w:r>
    </w:p>
    <w:p w14:paraId="00000059">
      <w:pPr>
        <w:pStyle w:val="4"/>
        <w:keepNext w:val="0"/>
        <w:keepLines w:val="0"/>
        <w:spacing w:before="280" w:line="480" w:lineRule="auto"/>
        <w:rPr>
          <w:rFonts w:ascii="Times New Roman" w:hAnsi="Times New Roman" w:eastAsia="Times New Roman" w:cs="Times New Roman"/>
          <w:b/>
          <w:color w:val="000000"/>
          <w:sz w:val="26"/>
          <w:szCs w:val="26"/>
        </w:rPr>
      </w:pPr>
      <w:bookmarkStart w:id="18" w:name="_kvytyyuv7nhw" w:colFirst="0" w:colLast="0"/>
      <w:bookmarkEnd w:id="18"/>
      <w:r>
        <w:rPr>
          <w:rFonts w:ascii="Times New Roman" w:hAnsi="Times New Roman" w:eastAsia="Times New Roman" w:cs="Times New Roman"/>
          <w:b/>
          <w:color w:val="000000"/>
          <w:sz w:val="26"/>
          <w:szCs w:val="26"/>
          <w:rtl w:val="0"/>
        </w:rPr>
        <w:t>Key Points from the Text:</w:t>
      </w:r>
    </w:p>
    <w:p w14:paraId="0000005A">
      <w:pPr>
        <w:numPr>
          <w:ilvl w:val="0"/>
          <w:numId w:val="10"/>
        </w:numPr>
        <w:spacing w:before="240" w:after="0" w:afterAutospacing="0" w:line="480" w:lineRule="auto"/>
        <w:ind w:left="720" w:hanging="360"/>
      </w:pPr>
      <w:r>
        <w:rPr>
          <w:rFonts w:ascii="Times New Roman" w:hAnsi="Times New Roman" w:eastAsia="Times New Roman" w:cs="Times New Roman"/>
          <w:b/>
          <w:rtl w:val="0"/>
        </w:rPr>
        <w:t>Curtailments</w:t>
      </w:r>
      <w:r>
        <w:rPr>
          <w:rFonts w:ascii="Times New Roman" w:hAnsi="Times New Roman" w:eastAsia="Times New Roman" w:cs="Times New Roman"/>
          <w:rtl w:val="0"/>
        </w:rPr>
        <w:t xml:space="preserve"> refer to extra payments made toward the principal beyond the regular monthly mortgage payment. By doing so, borrowers effectively shorten the remaining term of their mortgage.</w:t>
      </w:r>
    </w:p>
    <w:p w14:paraId="0000005B">
      <w:pPr>
        <w:numPr>
          <w:ilvl w:val="0"/>
          <w:numId w:val="10"/>
        </w:numPr>
        <w:spacing w:before="0" w:beforeAutospacing="0" w:after="0" w:afterAutospacing="0" w:line="480" w:lineRule="auto"/>
        <w:ind w:left="720" w:hanging="360"/>
      </w:pPr>
      <w:r>
        <w:rPr>
          <w:rFonts w:ascii="Times New Roman" w:hAnsi="Times New Roman" w:eastAsia="Times New Roman" w:cs="Times New Roman"/>
          <w:b/>
          <w:rtl w:val="0"/>
        </w:rPr>
        <w:t>Fixed Payment Structure</w:t>
      </w:r>
      <w:r>
        <w:rPr>
          <w:rFonts w:ascii="Times New Roman" w:hAnsi="Times New Roman" w:eastAsia="Times New Roman" w:cs="Times New Roman"/>
          <w:rtl w:val="0"/>
        </w:rPr>
        <w:t>: For a level payment mortgage, sending in larger monthly payments reduces the remaining principal and, therefore, the term of the loan.</w:t>
      </w:r>
    </w:p>
    <w:p w14:paraId="0000005C">
      <w:pPr>
        <w:numPr>
          <w:ilvl w:val="0"/>
          <w:numId w:val="10"/>
        </w:numPr>
        <w:spacing w:before="0" w:beforeAutospacing="0" w:after="240" w:line="480" w:lineRule="auto"/>
        <w:ind w:left="720" w:hanging="360"/>
      </w:pPr>
      <w:r>
        <w:rPr>
          <w:rFonts w:ascii="Times New Roman" w:hAnsi="Times New Roman" w:eastAsia="Times New Roman" w:cs="Times New Roman"/>
          <w:b/>
          <w:rtl w:val="0"/>
        </w:rPr>
        <w:t>Function of Loan Age</w:t>
      </w:r>
      <w:r>
        <w:rPr>
          <w:rFonts w:ascii="Times New Roman" w:hAnsi="Times New Roman" w:eastAsia="Times New Roman" w:cs="Times New Roman"/>
          <w:rtl w:val="0"/>
        </w:rPr>
        <w:t>: The curtailment pattern shown in the graph is tied to the loan's age, represented by the function in the context.</w:t>
      </w:r>
    </w:p>
    <w:p w14:paraId="0000005D">
      <w:pPr>
        <w:spacing w:before="240" w:after="240" w:line="480" w:lineRule="auto"/>
        <w:rPr>
          <w:rFonts w:ascii="Times New Roman" w:hAnsi="Times New Roman" w:eastAsia="Times New Roman" w:cs="Times New Roman"/>
        </w:rPr>
      </w:pPr>
      <w:r>
        <w:rPr>
          <w:rFonts w:ascii="Times New Roman" w:hAnsi="Times New Roman" w:eastAsia="Times New Roman" w:cs="Times New Roman"/>
          <w:rtl w:val="0"/>
        </w:rPr>
        <w:t>The graph highlights a pattern where the Curtailment Prepayment Rate sharply increases at a particular loan age (~30 months) and then stabilizes. This behavior reflects borrower tendencies to make extra payments to shorten the loan term, with significant prepayment activity concentrated in the early life of the mortgage.</w:t>
      </w:r>
    </w:p>
    <w:p w14:paraId="0000005E">
      <w:pPr>
        <w:spacing w:before="240" w:after="240" w:line="480" w:lineRule="auto"/>
        <w:rPr>
          <w:rFonts w:ascii="Times New Roman" w:hAnsi="Times New Roman" w:eastAsia="Times New Roman" w:cs="Times New Roman"/>
        </w:rPr>
      </w:pPr>
    </w:p>
    <w:p w14:paraId="0000005F">
      <w:pPr>
        <w:pStyle w:val="8"/>
        <w:spacing w:line="480" w:lineRule="auto"/>
        <w:jc w:val="center"/>
        <w:rPr>
          <w:rFonts w:hint="default" w:ascii="Times New Roman" w:hAnsi="Times New Roman" w:eastAsia="宋体" w:cs="Times New Roman"/>
          <w:b/>
          <w:color w:val="000000"/>
          <w:lang w:val="en-US" w:eastAsia="zh-CN"/>
        </w:rPr>
      </w:pPr>
      <w:bookmarkStart w:id="19" w:name="_hywk3tnk6eiq" w:colFirst="0" w:colLast="0"/>
      <w:bookmarkEnd w:id="19"/>
      <w:r>
        <w:rPr>
          <w:rFonts w:ascii="Times New Roman" w:hAnsi="Times New Roman" w:eastAsia="Times New Roman" w:cs="Times New Roman"/>
          <w:b/>
          <w:color w:val="000000"/>
          <w:rtl w:val="0"/>
        </w:rPr>
        <w:t>Part</w:t>
      </w:r>
      <w:r>
        <w:rPr>
          <w:rFonts w:hint="eastAsia" w:ascii="Times New Roman" w:hAnsi="Times New Roman" w:eastAsia="宋体" w:cs="Times New Roman"/>
          <w:b/>
          <w:color w:val="000000"/>
          <w:rtl w:val="0"/>
          <w:lang w:val="en-US" w:eastAsia="zh-CN"/>
        </w:rPr>
        <w:t xml:space="preserve"> </w:t>
      </w:r>
      <w:r>
        <w:rPr>
          <w:rFonts w:ascii="Times New Roman" w:hAnsi="Times New Roman" w:eastAsia="Times New Roman" w:cs="Times New Roman"/>
          <w:b/>
          <w:color w:val="000000"/>
          <w:rtl w:val="0"/>
        </w:rPr>
        <w:t>2</w:t>
      </w:r>
      <w:r>
        <w:rPr>
          <w:rFonts w:hint="eastAsia" w:ascii="Times New Roman" w:hAnsi="Times New Roman" w:eastAsia="宋体" w:cs="Times New Roman"/>
          <w:b/>
          <w:color w:val="000000"/>
          <w:rtl w:val="0"/>
          <w:lang w:val="en-US" w:eastAsia="zh-CN"/>
        </w:rPr>
        <w:t>: Credit Modeling</w:t>
      </w:r>
    </w:p>
    <w:p w14:paraId="00000060">
      <w:pPr>
        <w:spacing w:before="240" w:after="240" w:line="480" w:lineRule="auto"/>
        <w:rPr>
          <w:rFonts w:ascii="Times New Roman" w:hAnsi="Times New Roman" w:eastAsia="Times New Roman" w:cs="Times New Roman"/>
        </w:rPr>
      </w:pPr>
      <w:r>
        <w:rPr>
          <w:rFonts w:ascii="Times New Roman" w:hAnsi="Times New Roman" w:eastAsia="Times New Roman" w:cs="Times New Roman"/>
          <w:rtl w:val="0"/>
        </w:rPr>
        <w:t xml:space="preserve">This section of the final project focuses on </w:t>
      </w:r>
      <w:r>
        <w:rPr>
          <w:rFonts w:ascii="Times New Roman" w:hAnsi="Times New Roman" w:eastAsia="Times New Roman" w:cs="Times New Roman"/>
          <w:b/>
          <w:rtl w:val="0"/>
        </w:rPr>
        <w:t>default modeling</w:t>
      </w:r>
      <w:r>
        <w:rPr>
          <w:rFonts w:ascii="Times New Roman" w:hAnsi="Times New Roman" w:eastAsia="Times New Roman" w:cs="Times New Roman"/>
          <w:rtl w:val="0"/>
        </w:rPr>
        <w:t>, where loan data from 2015 and 2019 is preprocessed to predict the probability of loan default.</w:t>
      </w:r>
    </w:p>
    <w:p w14:paraId="00000061">
      <w:pPr>
        <w:spacing w:before="240" w:after="240" w:line="480" w:lineRule="auto"/>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tl w:val="0"/>
        </w:rPr>
        <w:t>1. Data Preprocessing:</w:t>
      </w:r>
    </w:p>
    <w:p w14:paraId="00000062">
      <w:pPr>
        <w:numPr>
          <w:ilvl w:val="0"/>
          <w:numId w:val="11"/>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Key Feature Extraction</w:t>
      </w:r>
      <w:r>
        <w:rPr>
          <w:rFonts w:ascii="Times New Roman" w:hAnsi="Times New Roman" w:eastAsia="Times New Roman" w:cs="Times New Roman"/>
          <w:rtl w:val="0"/>
        </w:rPr>
        <w:t>: Important features for predicting default probability are extracted, including FICO credit score, Original UPB (loan amount), Occupancy Status, Loan Purpose, Debt-To-Income ratio (DTI), and Property State.</w:t>
      </w:r>
    </w:p>
    <w:p w14:paraId="00000063">
      <w:pPr>
        <w:numPr>
          <w:ilvl w:val="0"/>
          <w:numId w:val="11"/>
        </w:numPr>
        <w:spacing w:before="0" w:beforeAutospacing="0" w:after="24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Current Loan Delinquency Status</w:t>
      </w:r>
      <w:r>
        <w:rPr>
          <w:rFonts w:ascii="Times New Roman" w:hAnsi="Times New Roman" w:eastAsia="Times New Roman" w:cs="Times New Roman"/>
          <w:rtl w:val="0"/>
        </w:rPr>
        <w:t>: The loan delinquency status data is processed to determine whether a loan is in default.</w:t>
      </w:r>
    </w:p>
    <w:p w14:paraId="00000064">
      <w:pPr>
        <w:pStyle w:val="4"/>
        <w:keepNext w:val="0"/>
        <w:keepLines w:val="0"/>
        <w:spacing w:before="280" w:line="480" w:lineRule="auto"/>
        <w:rPr>
          <w:rFonts w:ascii="Times New Roman" w:hAnsi="Times New Roman" w:eastAsia="Times New Roman" w:cs="Times New Roman"/>
          <w:b/>
          <w:color w:val="000000"/>
          <w:sz w:val="26"/>
          <w:szCs w:val="26"/>
        </w:rPr>
      </w:pPr>
      <w:bookmarkStart w:id="20" w:name="_r7j72ovlhtsz" w:colFirst="0" w:colLast="0"/>
      <w:bookmarkEnd w:id="20"/>
      <w:r>
        <w:rPr>
          <w:rFonts w:ascii="Times New Roman" w:hAnsi="Times New Roman" w:eastAsia="Times New Roman" w:cs="Times New Roman"/>
          <w:b/>
          <w:color w:val="000000"/>
          <w:sz w:val="26"/>
          <w:szCs w:val="26"/>
          <w:rtl w:val="0"/>
        </w:rPr>
        <w:t>2. Feature Extraction:</w:t>
      </w:r>
    </w:p>
    <w:p w14:paraId="00000065">
      <w:pPr>
        <w:numPr>
          <w:ilvl w:val="0"/>
          <w:numId w:val="12"/>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rtl w:val="0"/>
        </w:rPr>
        <w:t>The data is grouped by loan identifiers, using the most recent records for each loan.</w:t>
      </w:r>
    </w:p>
    <w:p w14:paraId="00000066">
      <w:pPr>
        <w:numPr>
          <w:ilvl w:val="0"/>
          <w:numId w:val="12"/>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Defining Default Status</w:t>
      </w:r>
      <w:r>
        <w:rPr>
          <w:rFonts w:ascii="Times New Roman" w:hAnsi="Times New Roman" w:eastAsia="Times New Roman" w:cs="Times New Roman"/>
          <w:rtl w:val="0"/>
        </w:rPr>
        <w:t>: Loans are classified as default if the delinquency status shows three or more months of missed payments (status = 1), otherwise, they are classified as non-default (status = 0).</w:t>
      </w:r>
    </w:p>
    <w:p w14:paraId="00000067">
      <w:pPr>
        <w:numPr>
          <w:ilvl w:val="0"/>
          <w:numId w:val="12"/>
        </w:numPr>
        <w:spacing w:before="0" w:beforeAutospacing="0" w:after="240" w:line="480" w:lineRule="auto"/>
        <w:ind w:left="720" w:hanging="360"/>
        <w:rPr>
          <w:rFonts w:ascii="Times New Roman" w:hAnsi="Times New Roman" w:eastAsia="Times New Roman" w:cs="Times New Roman"/>
        </w:rPr>
      </w:pPr>
      <w:r>
        <w:rPr>
          <w:rFonts w:ascii="Times New Roman" w:hAnsi="Times New Roman" w:eastAsia="Times New Roman" w:cs="Times New Roman"/>
          <w:rtl w:val="0"/>
        </w:rPr>
        <w:t>This process is applied to both the 2015 and 2019 datasets to obtain the features and target variables needed for model training.</w:t>
      </w:r>
    </w:p>
    <w:p w14:paraId="00000068">
      <w:pPr>
        <w:pStyle w:val="4"/>
        <w:keepNext w:val="0"/>
        <w:keepLines w:val="0"/>
        <w:spacing w:before="280" w:line="480" w:lineRule="auto"/>
        <w:rPr>
          <w:rFonts w:ascii="Times New Roman" w:hAnsi="Times New Roman" w:eastAsia="Times New Roman" w:cs="Times New Roman"/>
          <w:b/>
          <w:color w:val="000000"/>
          <w:sz w:val="26"/>
          <w:szCs w:val="26"/>
        </w:rPr>
      </w:pPr>
      <w:bookmarkStart w:id="21" w:name="_rb124glnhsbu" w:colFirst="0" w:colLast="0"/>
      <w:bookmarkEnd w:id="21"/>
      <w:r>
        <w:rPr>
          <w:rFonts w:ascii="Times New Roman" w:hAnsi="Times New Roman" w:eastAsia="Times New Roman" w:cs="Times New Roman"/>
          <w:b/>
          <w:color w:val="000000"/>
          <w:sz w:val="26"/>
          <w:szCs w:val="26"/>
          <w:rtl w:val="0"/>
        </w:rPr>
        <w:t>3. Model Training:</w:t>
      </w:r>
    </w:p>
    <w:p w14:paraId="00000069">
      <w:pPr>
        <w:numPr>
          <w:ilvl w:val="0"/>
          <w:numId w:val="13"/>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rtl w:val="0"/>
        </w:rPr>
        <w:t>Before training, the data is split into an 80% training set and a 20% test set to ensure the model's performance is evaluated on unseen data.</w:t>
      </w:r>
    </w:p>
    <w:p w14:paraId="0000006A">
      <w:pPr>
        <w:numPr>
          <w:ilvl w:val="0"/>
          <w:numId w:val="13"/>
        </w:numPr>
        <w:spacing w:before="0" w:beforeAutospacing="0" w:after="24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Feature Transformation</w:t>
      </w:r>
      <w:r>
        <w:rPr>
          <w:rFonts w:ascii="Times New Roman" w:hAnsi="Times New Roman" w:eastAsia="Times New Roman" w:cs="Times New Roman"/>
          <w:rtl w:val="0"/>
        </w:rPr>
        <w:t>: The data is split into numerical features (such as FICO score, loan amount, and DTI) and categorical features (such as Occupancy Status, Loan Purpose, and Property State). Numerical features are standardized, and categorical features are one-hot encoded.</w:t>
      </w:r>
    </w:p>
    <w:p w14:paraId="0000006B">
      <w:pPr>
        <w:pStyle w:val="4"/>
        <w:keepNext w:val="0"/>
        <w:keepLines w:val="0"/>
        <w:spacing w:before="280" w:line="480" w:lineRule="auto"/>
        <w:rPr>
          <w:rFonts w:ascii="Times New Roman" w:hAnsi="Times New Roman" w:eastAsia="Times New Roman" w:cs="Times New Roman"/>
          <w:b/>
          <w:color w:val="000000"/>
          <w:sz w:val="26"/>
          <w:szCs w:val="26"/>
        </w:rPr>
      </w:pPr>
      <w:bookmarkStart w:id="22" w:name="_x7ynat8pycp8" w:colFirst="0" w:colLast="0"/>
      <w:bookmarkEnd w:id="22"/>
      <w:r>
        <w:rPr>
          <w:rFonts w:ascii="Times New Roman" w:hAnsi="Times New Roman" w:eastAsia="Times New Roman" w:cs="Times New Roman"/>
          <w:b/>
          <w:color w:val="000000"/>
          <w:sz w:val="26"/>
          <w:szCs w:val="26"/>
          <w:rtl w:val="0"/>
        </w:rPr>
        <w:t>4. Model Evaluation:</w:t>
      </w:r>
    </w:p>
    <w:p w14:paraId="0000006C">
      <w:pPr>
        <w:numPr>
          <w:ilvl w:val="0"/>
          <w:numId w:val="14"/>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Logistic Regression</w:t>
      </w:r>
      <w:r>
        <w:rPr>
          <w:rFonts w:ascii="Times New Roman" w:hAnsi="Times New Roman" w:eastAsia="Times New Roman" w:cs="Times New Roman"/>
          <w:rtl w:val="0"/>
        </w:rPr>
        <w:t>: As a linear model, logistic regression is suited for linear relationships. However, it struggled to capture the nonlinear patterns in this dataset, resulting in a lower accuracy of around 60%.</w:t>
      </w:r>
    </w:p>
    <w:p w14:paraId="0000006D">
      <w:pPr>
        <w:numPr>
          <w:ilvl w:val="0"/>
          <w:numId w:val="14"/>
        </w:numPr>
        <w:spacing w:before="0" w:beforeAutospacing="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Decision Tree Model</w:t>
      </w:r>
      <w:r>
        <w:rPr>
          <w:rFonts w:ascii="Times New Roman" w:hAnsi="Times New Roman" w:eastAsia="Times New Roman" w:cs="Times New Roman"/>
          <w:rtl w:val="0"/>
        </w:rPr>
        <w:t>: The decision tree performed the best, with an accuracy of 65%, as it could capture nonlinear patterns in the data by adaptively splitting features at various thresholds.</w:t>
      </w:r>
    </w:p>
    <w:p w14:paraId="0000006E">
      <w:pPr>
        <w:numPr>
          <w:ilvl w:val="0"/>
          <w:numId w:val="14"/>
        </w:numPr>
        <w:spacing w:before="0" w:beforeAutospacing="0" w:after="24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Random Forest Model</w:t>
      </w:r>
      <w:r>
        <w:rPr>
          <w:rFonts w:ascii="Times New Roman" w:hAnsi="Times New Roman" w:eastAsia="Times New Roman" w:cs="Times New Roman"/>
          <w:rtl w:val="0"/>
        </w:rPr>
        <w:t>: Despite being an ensemble method designed to improve performance, the random forest model also achieved around 60% accuracy, similar to logistic regression. This may be due to the lack of hyperparameter tuning.</w:t>
      </w:r>
    </w:p>
    <w:p w14:paraId="0000006F">
      <w:pPr>
        <w:pStyle w:val="4"/>
        <w:keepNext w:val="0"/>
        <w:keepLines w:val="0"/>
        <w:spacing w:before="280" w:line="480" w:lineRule="auto"/>
        <w:rPr>
          <w:rFonts w:ascii="Times New Roman" w:hAnsi="Times New Roman" w:eastAsia="Times New Roman" w:cs="Times New Roman"/>
          <w:b/>
          <w:color w:val="000000"/>
          <w:sz w:val="26"/>
          <w:szCs w:val="26"/>
        </w:rPr>
      </w:pPr>
      <w:bookmarkStart w:id="23" w:name="_gx3wnbkjbs8o" w:colFirst="0" w:colLast="0"/>
      <w:bookmarkEnd w:id="23"/>
      <w:r>
        <w:rPr>
          <w:rFonts w:ascii="Times New Roman" w:hAnsi="Times New Roman" w:eastAsia="Times New Roman" w:cs="Times New Roman"/>
          <w:b/>
          <w:color w:val="000000"/>
          <w:sz w:val="26"/>
          <w:szCs w:val="26"/>
          <w:rtl w:val="0"/>
        </w:rPr>
        <w:t>5. Future Improvement Directions:</w:t>
      </w:r>
    </w:p>
    <w:p w14:paraId="00000070">
      <w:pPr>
        <w:numPr>
          <w:ilvl w:val="0"/>
          <w:numId w:val="15"/>
        </w:numPr>
        <w:spacing w:before="240" w:after="0" w:afterAutospacing="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Hyperparameter Tuning</w:t>
      </w:r>
      <w:r>
        <w:rPr>
          <w:rFonts w:ascii="Times New Roman" w:hAnsi="Times New Roman" w:eastAsia="Times New Roman" w:cs="Times New Roman"/>
          <w:rtl w:val="0"/>
        </w:rPr>
        <w:t>:</w:t>
      </w:r>
    </w:p>
    <w:p w14:paraId="00000071">
      <w:pPr>
        <w:numPr>
          <w:ilvl w:val="1"/>
          <w:numId w:val="15"/>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For Random Forest: Tuning hyperparameters such as the number of trees, maximum depth, and the number of features considered at each split could improve the model's performance.</w:t>
      </w:r>
    </w:p>
    <w:p w14:paraId="00000072">
      <w:pPr>
        <w:numPr>
          <w:ilvl w:val="1"/>
          <w:numId w:val="15"/>
        </w:numPr>
        <w:spacing w:before="0" w:beforeAutospacing="0" w:after="0" w:afterAutospacing="0" w:line="480" w:lineRule="auto"/>
        <w:ind w:left="1440" w:hanging="360"/>
        <w:rPr>
          <w:rFonts w:ascii="Times New Roman" w:hAnsi="Times New Roman" w:eastAsia="Times New Roman" w:cs="Times New Roman"/>
        </w:rPr>
      </w:pPr>
      <w:r>
        <w:rPr>
          <w:rFonts w:ascii="Times New Roman" w:hAnsi="Times New Roman" w:eastAsia="Times New Roman" w:cs="Times New Roman"/>
          <w:rtl w:val="0"/>
        </w:rPr>
        <w:t>For Decision Tree: Adjusting the depth of the tree or the minimum number of samples required to split a node could prevent overfitting or underfitting and enhance the model's ability to generalize.</w:t>
      </w:r>
    </w:p>
    <w:p w14:paraId="00000073">
      <w:pPr>
        <w:numPr>
          <w:ilvl w:val="0"/>
          <w:numId w:val="15"/>
        </w:numPr>
        <w:spacing w:before="0" w:beforeAutospacing="0" w:after="240" w:line="480" w:lineRule="auto"/>
        <w:ind w:left="720" w:hanging="360"/>
        <w:rPr>
          <w:rFonts w:ascii="Times New Roman" w:hAnsi="Times New Roman" w:eastAsia="Times New Roman" w:cs="Times New Roman"/>
        </w:rPr>
      </w:pPr>
      <w:r>
        <w:rPr>
          <w:rFonts w:ascii="Times New Roman" w:hAnsi="Times New Roman" w:eastAsia="Times New Roman" w:cs="Times New Roman"/>
          <w:b/>
          <w:rtl w:val="0"/>
        </w:rPr>
        <w:t>Ensemble Learning</w:t>
      </w:r>
      <w:r>
        <w:rPr>
          <w:rFonts w:ascii="Times New Roman" w:hAnsi="Times New Roman" w:eastAsia="Times New Roman" w:cs="Times New Roman"/>
          <w:rtl w:val="0"/>
        </w:rPr>
        <w:t>: Combining predictions from multiple models (e.g., using a voting classifier with logistic regression, random forest, and decision tree) could provide a more robust and accurate prediction.</w:t>
      </w:r>
    </w:p>
    <w:p w14:paraId="00000074">
      <w:pPr>
        <w:spacing w:before="240" w:after="240" w:line="480" w:lineRule="auto"/>
        <w:rPr>
          <w:rFonts w:ascii="Times New Roman" w:hAnsi="Times New Roman" w:eastAsia="Times New Roman" w:cs="Times New Roman"/>
        </w:rPr>
      </w:pPr>
      <w:r>
        <w:rPr>
          <w:rFonts w:ascii="Times New Roman" w:hAnsi="Times New Roman" w:eastAsia="Times New Roman" w:cs="Times New Roman"/>
          <w:rtl w:val="0"/>
        </w:rPr>
        <w:t>Overall, the project successfully builds models to predict loan defaults and offers suggestions for future improvements to enhance the accuracy and robustness of the predictions.</w:t>
      </w:r>
    </w:p>
    <w:p w14:paraId="00000075">
      <w:pPr>
        <w:spacing w:line="480" w:lineRule="auto"/>
        <w:rPr>
          <w:rFonts w:ascii="Times New Roman" w:hAnsi="Times New Roman" w:eastAsia="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053208E"/>
    <w:multiLevelType w:val="multilevel"/>
    <w:tmpl w:val="0053208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0248C179"/>
    <w:multiLevelType w:val="multilevel"/>
    <w:tmpl w:val="0248C17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5B654F3"/>
    <w:multiLevelType w:val="multilevel"/>
    <w:tmpl w:val="25B654F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useFELayout/>
    <w:compatSetting w:name="compatibilityMode" w:uri="http://schemas.microsoft.com/office/word" w:val="15"/>
  </w:compat>
  <w:docVars>
    <w:docVar w:name="commondata" w:val="eyJoZGlkIjoiN2YzNjBkOTgyNWQ1YTMxYzM3MzMwNWFiODNmOWIzYWMifQ=="/>
  </w:docVars>
  <w:rsids>
    <w:rsidRoot w:val="00000000"/>
    <w:rsid w:val="3F076DB8"/>
    <w:rsid w:val="7EED45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 Normal"/>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1558</Words>
  <Characters>8970</Characters>
  <TotalTime>0</TotalTime>
  <ScaleCrop>false</ScaleCrop>
  <LinksUpToDate>false</LinksUpToDate>
  <CharactersWithSpaces>10441</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2024-10-21T00:33:00Z</dcterms:created>
  <dc:creator>cj dong</dc:creator>
  <cp:lastModifiedBy>十</cp:lastModifiedBy>
  <dcterms:modified xsi:type="dcterms:W3CDTF">2024-10-21T04:17:17Z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7A77D64083EA4733BEA579D152F4D7F9_12</vt:lpwstr>
  </property>
</Properties>
</file>