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215E" w14:textId="21F13ECD" w:rsidR="003512C0" w:rsidRDefault="00A7695A">
      <w:r>
        <w:rPr>
          <w:rFonts w:ascii="Helvetica" w:hAnsi="Helvetica" w:cs="Helvetica"/>
          <w:color w:val="1D2228"/>
          <w:sz w:val="27"/>
          <w:szCs w:val="27"/>
          <w:shd w:val="clear" w:color="auto" w:fill="FFFFFF"/>
        </w:rPr>
        <w:t>San Francisco-based First Republic continued to teeter on the edge Monday, with its shares falling more than 47%, briefly hitting an all-time low shortly before the market closed, and trading halted numerous times throughout the day. First Republic’s stock has tumbled 90% over the past month, with almost all of the losses occurring since March 8, the day </w:t>
      </w:r>
      <w:hyperlink r:id="rId4" w:tgtFrame="_blank" w:history="1">
        <w:r>
          <w:rPr>
            <w:rStyle w:val="Hyperlink"/>
            <w:rFonts w:ascii="Helvetica" w:hAnsi="Helvetica" w:cs="Helvetica"/>
            <w:color w:val="0F69FF"/>
            <w:sz w:val="27"/>
            <w:szCs w:val="27"/>
            <w:shd w:val="clear" w:color="auto" w:fill="FFFFFF"/>
          </w:rPr>
          <w:t>Silicon Valley Bank</w:t>
        </w:r>
      </w:hyperlink>
      <w:r>
        <w:rPr>
          <w:rFonts w:ascii="Helvetica" w:hAnsi="Helvetica" w:cs="Helvetica"/>
          <w:color w:val="1D2228"/>
          <w:sz w:val="27"/>
          <w:szCs w:val="27"/>
          <w:shd w:val="clear" w:color="auto" w:fill="FFFFFF"/>
        </w:rPr>
        <w:t> announced </w:t>
      </w:r>
      <w:hyperlink r:id="rId5" w:tgtFrame="_blank" w:history="1">
        <w:r>
          <w:rPr>
            <w:rStyle w:val="Hyperlink"/>
            <w:rFonts w:ascii="Helvetica" w:hAnsi="Helvetica" w:cs="Helvetica"/>
            <w:color w:val="0F69FF"/>
            <w:sz w:val="27"/>
            <w:szCs w:val="27"/>
            <w:shd w:val="clear" w:color="auto" w:fill="FFFFFF"/>
          </w:rPr>
          <w:t>stock sale plans</w:t>
        </w:r>
      </w:hyperlink>
      <w:r>
        <w:rPr>
          <w:rFonts w:ascii="Helvetica" w:hAnsi="Helvetica" w:cs="Helvetica"/>
          <w:color w:val="1D2228"/>
          <w:sz w:val="27"/>
          <w:szCs w:val="27"/>
          <w:shd w:val="clear" w:color="auto" w:fill="FFFFFF"/>
        </w:rPr>
        <w:t> and sparked what would turn into </w:t>
      </w:r>
      <w:hyperlink r:id="rId6" w:tgtFrame="_blank" w:history="1">
        <w:r>
          <w:rPr>
            <w:rStyle w:val="Hyperlink"/>
            <w:rFonts w:ascii="Helvetica" w:hAnsi="Helvetica" w:cs="Helvetica"/>
            <w:color w:val="0F69FF"/>
            <w:sz w:val="27"/>
            <w:szCs w:val="27"/>
            <w:shd w:val="clear" w:color="auto" w:fill="FFFFFF"/>
          </w:rPr>
          <w:t>a $42 billion bank run</w:t>
        </w:r>
      </w:hyperlink>
      <w:r>
        <w:rPr>
          <w:rFonts w:ascii="Helvetica" w:hAnsi="Helvetica" w:cs="Helvetica"/>
          <w:color w:val="1D2228"/>
          <w:sz w:val="27"/>
          <w:szCs w:val="27"/>
          <w:shd w:val="clear" w:color="auto" w:fill="FFFFFF"/>
        </w:rPr>
        <w:t> and a subsequent </w:t>
      </w:r>
      <w:hyperlink r:id="rId7" w:tgtFrame="_blank" w:history="1">
        <w:r>
          <w:rPr>
            <w:rStyle w:val="Hyperlink"/>
            <w:rFonts w:ascii="Helvetica" w:hAnsi="Helvetica" w:cs="Helvetica"/>
            <w:color w:val="0F69FF"/>
            <w:sz w:val="27"/>
            <w:szCs w:val="27"/>
            <w:shd w:val="clear" w:color="auto" w:fill="FFFFFF"/>
          </w:rPr>
          <w:t>seizure by federal regulators.</w:t>
        </w:r>
      </w:hyperlink>
    </w:p>
    <w:p w14:paraId="3F02F95E" w14:textId="70256A88" w:rsidR="00A7695A" w:rsidRDefault="00A7695A"/>
    <w:p w14:paraId="4C970C72" w14:textId="2BCE8971" w:rsidR="00A7695A" w:rsidRDefault="00A7695A" w:rsidP="00A769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42"/>
          <w:szCs w:val="42"/>
        </w:rPr>
      </w:pPr>
      <w:r w:rsidRPr="00A7695A">
        <w:rPr>
          <w:rFonts w:ascii="PMingLiU" w:eastAsia="PMingLiU" w:hAnsi="PMingLiU" w:cs="PMingLiU" w:hint="eastAsia"/>
          <w:color w:val="202124"/>
          <w:sz w:val="42"/>
          <w:szCs w:val="42"/>
        </w:rPr>
        <w:t>總部位於舊金山的</w:t>
      </w:r>
      <w:r w:rsidRPr="00A7695A">
        <w:rPr>
          <w:rFonts w:ascii="inherit" w:eastAsia="Times New Roman" w:hAnsi="inherit" w:cs="Courier New" w:hint="eastAsia"/>
          <w:color w:val="202124"/>
          <w:sz w:val="42"/>
          <w:szCs w:val="42"/>
        </w:rPr>
        <w:t xml:space="preserve"> First Republic </w:t>
      </w:r>
      <w:r w:rsidRPr="00A7695A">
        <w:rPr>
          <w:rFonts w:ascii="PMingLiU" w:eastAsia="PMingLiU" w:hAnsi="PMingLiU" w:cs="PMingLiU" w:hint="eastAsia"/>
          <w:color w:val="202124"/>
          <w:sz w:val="42"/>
          <w:szCs w:val="42"/>
        </w:rPr>
        <w:t>週一繼續在邊緣搖搖欲墜，其股價下跌超過</w:t>
      </w:r>
      <w:r w:rsidRPr="00A7695A">
        <w:rPr>
          <w:rFonts w:ascii="inherit" w:eastAsia="Times New Roman" w:hAnsi="inherit" w:cs="Courier New" w:hint="eastAsia"/>
          <w:color w:val="202124"/>
          <w:sz w:val="42"/>
          <w:szCs w:val="42"/>
        </w:rPr>
        <w:t xml:space="preserve"> 47%</w:t>
      </w:r>
      <w:r w:rsidRPr="00A7695A">
        <w:rPr>
          <w:rFonts w:ascii="PMingLiU" w:eastAsia="PMingLiU" w:hAnsi="PMingLiU" w:cs="PMingLiU" w:hint="eastAsia"/>
          <w:color w:val="202124"/>
          <w:sz w:val="42"/>
          <w:szCs w:val="42"/>
        </w:rPr>
        <w:t>，在收市前不久觸及歷史低點，全天交易多次暫停。</w:t>
      </w:r>
      <w:r w:rsidRPr="00A7695A">
        <w:rPr>
          <w:rFonts w:ascii="inherit" w:eastAsia="Times New Roman" w:hAnsi="inherit" w:cs="Courier New" w:hint="eastAsia"/>
          <w:color w:val="202124"/>
          <w:sz w:val="42"/>
          <w:szCs w:val="42"/>
        </w:rPr>
        <w:t xml:space="preserve"> First Republic </w:t>
      </w:r>
      <w:r w:rsidRPr="00A7695A">
        <w:rPr>
          <w:rFonts w:ascii="PMingLiU" w:eastAsia="PMingLiU" w:hAnsi="PMingLiU" w:cs="PMingLiU" w:hint="eastAsia"/>
          <w:color w:val="202124"/>
          <w:sz w:val="42"/>
          <w:szCs w:val="42"/>
        </w:rPr>
        <w:t>的股票在過去一個月下跌了</w:t>
      </w:r>
      <w:r w:rsidRPr="00A7695A">
        <w:rPr>
          <w:rFonts w:ascii="inherit" w:eastAsia="Times New Roman" w:hAnsi="inherit" w:cs="Courier New" w:hint="eastAsia"/>
          <w:color w:val="202124"/>
          <w:sz w:val="42"/>
          <w:szCs w:val="42"/>
        </w:rPr>
        <w:t xml:space="preserve"> 90%</w:t>
      </w:r>
      <w:r w:rsidRPr="00A7695A">
        <w:rPr>
          <w:rFonts w:ascii="PMingLiU" w:eastAsia="PMingLiU" w:hAnsi="PMingLiU" w:cs="PMingLiU" w:hint="eastAsia"/>
          <w:color w:val="202124"/>
          <w:sz w:val="42"/>
          <w:szCs w:val="42"/>
        </w:rPr>
        <w:t>，幾乎所有的損失都發生在</w:t>
      </w:r>
      <w:r w:rsidRPr="00A7695A">
        <w:rPr>
          <w:rFonts w:ascii="inherit" w:eastAsia="Times New Roman" w:hAnsi="inherit" w:cs="Courier New" w:hint="eastAsia"/>
          <w:color w:val="202124"/>
          <w:sz w:val="42"/>
          <w:szCs w:val="42"/>
        </w:rPr>
        <w:t xml:space="preserve"> 3 </w:t>
      </w:r>
      <w:r w:rsidRPr="00A7695A">
        <w:rPr>
          <w:rFonts w:ascii="PMingLiU" w:eastAsia="PMingLiU" w:hAnsi="PMingLiU" w:cs="PMingLiU" w:hint="eastAsia"/>
          <w:color w:val="202124"/>
          <w:sz w:val="42"/>
          <w:szCs w:val="42"/>
        </w:rPr>
        <w:t>月</w:t>
      </w:r>
      <w:r w:rsidRPr="00A7695A">
        <w:rPr>
          <w:rFonts w:ascii="inherit" w:eastAsia="Times New Roman" w:hAnsi="inherit" w:cs="Courier New" w:hint="eastAsia"/>
          <w:color w:val="202124"/>
          <w:sz w:val="42"/>
          <w:szCs w:val="42"/>
        </w:rPr>
        <w:t xml:space="preserve"> 8 </w:t>
      </w:r>
      <w:r w:rsidRPr="00A7695A">
        <w:rPr>
          <w:rFonts w:ascii="PMingLiU" w:eastAsia="PMingLiU" w:hAnsi="PMingLiU" w:cs="PMingLiU" w:hint="eastAsia"/>
          <w:color w:val="202124"/>
          <w:sz w:val="42"/>
          <w:szCs w:val="42"/>
        </w:rPr>
        <w:t>日之後，當天矽谷銀行宣布了股票出售計劃並引發了</w:t>
      </w:r>
      <w:r w:rsidRPr="00A7695A">
        <w:rPr>
          <w:rFonts w:ascii="inherit" w:eastAsia="Times New Roman" w:hAnsi="inherit" w:cs="Courier New" w:hint="eastAsia"/>
          <w:color w:val="202124"/>
          <w:sz w:val="42"/>
          <w:szCs w:val="42"/>
        </w:rPr>
        <w:t xml:space="preserve"> 420 </w:t>
      </w:r>
      <w:r w:rsidRPr="00A7695A">
        <w:rPr>
          <w:rFonts w:ascii="PMingLiU" w:eastAsia="PMingLiU" w:hAnsi="PMingLiU" w:cs="PMingLiU" w:hint="eastAsia"/>
          <w:color w:val="202124"/>
          <w:sz w:val="42"/>
          <w:szCs w:val="42"/>
        </w:rPr>
        <w:t>億美元的銀行擠兌，隨後被聯邦監管機構查封</w:t>
      </w:r>
      <w:r w:rsidRPr="00A7695A">
        <w:rPr>
          <w:rFonts w:ascii="inherit" w:eastAsia="Times New Roman" w:hAnsi="inherit" w:cs="Courier New" w:hint="eastAsia"/>
          <w:color w:val="202124"/>
          <w:sz w:val="42"/>
          <w:szCs w:val="42"/>
        </w:rPr>
        <w:t>.</w:t>
      </w:r>
    </w:p>
    <w:p w14:paraId="2D7B838D" w14:textId="77777777" w:rsidR="00A7695A" w:rsidRPr="00A7695A" w:rsidRDefault="00A7695A" w:rsidP="00A769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42"/>
          <w:szCs w:val="42"/>
        </w:rPr>
      </w:pPr>
    </w:p>
    <w:p w14:paraId="6674C603" w14:textId="38C8D0B3" w:rsidR="00A7695A" w:rsidRDefault="00A7695A">
      <w:pPr>
        <w:rPr>
          <w:rFonts w:ascii="Helvetica" w:hAnsi="Helvetica" w:cs="Helvetica"/>
          <w:color w:val="1D2228"/>
          <w:sz w:val="27"/>
          <w:szCs w:val="27"/>
          <w:shd w:val="clear" w:color="auto" w:fill="FFFFFF"/>
        </w:rPr>
      </w:pPr>
      <w:bookmarkStart w:id="0" w:name="OLE_LINK1"/>
      <w:r>
        <w:rPr>
          <w:rFonts w:ascii="Helvetica" w:hAnsi="Helvetica" w:cs="Helvetica"/>
          <w:color w:val="1D2228"/>
          <w:sz w:val="27"/>
          <w:szCs w:val="27"/>
          <w:shd w:val="clear" w:color="auto" w:fill="FFFFFF"/>
        </w:rPr>
        <w:t>But despite </w:t>
      </w:r>
      <w:hyperlink r:id="rId8" w:tgtFrame="_blank" w:history="1">
        <w:r>
          <w:rPr>
            <w:rStyle w:val="Hyperlink"/>
            <w:rFonts w:ascii="Helvetica" w:hAnsi="Helvetica" w:cs="Helvetica"/>
            <w:color w:val="0F69FF"/>
            <w:sz w:val="27"/>
            <w:szCs w:val="27"/>
            <w:shd w:val="clear" w:color="auto" w:fill="FFFFFF"/>
          </w:rPr>
          <w:t>sweeping government measures</w:t>
        </w:r>
      </w:hyperlink>
      <w:r>
        <w:rPr>
          <w:rFonts w:ascii="Helvetica" w:hAnsi="Helvetica" w:cs="Helvetica"/>
          <w:color w:val="1D2228"/>
          <w:sz w:val="27"/>
          <w:szCs w:val="27"/>
          <w:shd w:val="clear" w:color="auto" w:fill="FFFFFF"/>
        </w:rPr>
        <w:t> to reassure bank depositors that their money is safe, small and regional banks are still uneasy, with First Republic at the highest risk of another lethal run. Its customers have withdrawn around $70 billion in deposits since SVB’s collapse, or nearly 40% of its total holdings, </w:t>
      </w:r>
      <w:hyperlink r:id="rId9" w:tgtFrame="_blank" w:history="1">
        <w:r>
          <w:rPr>
            <w:rStyle w:val="Hyperlink"/>
            <w:rFonts w:ascii="Helvetica" w:hAnsi="Helvetica" w:cs="Helvetica"/>
            <w:color w:val="0F69FF"/>
            <w:sz w:val="27"/>
            <w:szCs w:val="27"/>
            <w:shd w:val="clear" w:color="auto" w:fill="FFFFFF"/>
          </w:rPr>
          <w:t>the </w:t>
        </w:r>
        <w:r>
          <w:rPr>
            <w:rStyle w:val="Emphasis"/>
            <w:rFonts w:ascii="Helvetica" w:hAnsi="Helvetica" w:cs="Helvetica"/>
            <w:color w:val="0F69FF"/>
            <w:sz w:val="27"/>
            <w:szCs w:val="27"/>
            <w:shd w:val="clear" w:color="auto" w:fill="FFFFFF"/>
          </w:rPr>
          <w:t>Wall Street Journal </w:t>
        </w:r>
        <w:r>
          <w:rPr>
            <w:rStyle w:val="Hyperlink"/>
            <w:rFonts w:ascii="Helvetica" w:hAnsi="Helvetica" w:cs="Helvetica"/>
            <w:color w:val="0F69FF"/>
            <w:sz w:val="27"/>
            <w:szCs w:val="27"/>
            <w:shd w:val="clear" w:color="auto" w:fill="FFFFFF"/>
          </w:rPr>
          <w:t>reported</w:t>
        </w:r>
      </w:hyperlink>
      <w:r>
        <w:rPr>
          <w:rFonts w:ascii="Helvetica" w:hAnsi="Helvetica" w:cs="Helvetica"/>
          <w:color w:val="1D2228"/>
          <w:sz w:val="27"/>
          <w:szCs w:val="27"/>
          <w:shd w:val="clear" w:color="auto" w:fill="FFFFFF"/>
        </w:rPr>
        <w:t> Sunday, citing people familiar with the matter.</w:t>
      </w:r>
      <w:bookmarkEnd w:id="0"/>
    </w:p>
    <w:p w14:paraId="0AFB2C89" w14:textId="60E83E83" w:rsidR="00A7695A" w:rsidRDefault="00A7695A">
      <w:pPr>
        <w:rPr>
          <w:rFonts w:ascii="Helvetica" w:hAnsi="Helvetica" w:cs="Helvetica"/>
          <w:color w:val="1D2228"/>
          <w:sz w:val="27"/>
          <w:szCs w:val="27"/>
          <w:shd w:val="clear" w:color="auto" w:fill="FFFFFF"/>
        </w:rPr>
      </w:pPr>
    </w:p>
    <w:p w14:paraId="1D79AC1E" w14:textId="5021695A" w:rsidR="00A7695A" w:rsidRDefault="00A7695A" w:rsidP="00A7695A">
      <w:pPr>
        <w:pStyle w:val="HTMLPreformatted"/>
        <w:shd w:val="clear" w:color="auto" w:fill="F8F9FA"/>
        <w:spacing w:line="480" w:lineRule="atLeast"/>
        <w:rPr>
          <w:rStyle w:val="y2iqfc"/>
          <w:rFonts w:ascii="PMingLiU" w:eastAsia="PMingLiU" w:hAnsi="PMingLiU" w:cs="PMingLiU"/>
          <w:color w:val="202124"/>
          <w:sz w:val="42"/>
          <w:szCs w:val="42"/>
        </w:rPr>
      </w:pPr>
      <w:r>
        <w:rPr>
          <w:rStyle w:val="y2iqfc"/>
          <w:rFonts w:ascii="PMingLiU" w:eastAsia="PMingLiU" w:hAnsi="PMingLiU" w:cs="PMingLiU" w:hint="eastAsia"/>
          <w:color w:val="202124"/>
          <w:sz w:val="42"/>
          <w:szCs w:val="42"/>
        </w:rPr>
        <w:t>但是，儘管政府採取了全面措施讓銀行儲戶放心，他們的錢是安全的，但小型銀行和地區性銀行仍然不安，第一共和國面臨另一次致命擠兌的風險最高。</w:t>
      </w:r>
      <w:r>
        <w:rPr>
          <w:rStyle w:val="y2iqfc"/>
          <w:rFonts w:ascii="inherit" w:hAnsi="inherit" w:hint="eastAsia"/>
          <w:color w:val="202124"/>
          <w:sz w:val="42"/>
          <w:szCs w:val="42"/>
        </w:rPr>
        <w:t xml:space="preserve"> </w:t>
      </w:r>
      <w:r>
        <w:rPr>
          <w:rStyle w:val="y2iqfc"/>
          <w:rFonts w:ascii="PMingLiU" w:eastAsia="PMingLiU" w:hAnsi="PMingLiU" w:cs="PMingLiU" w:hint="eastAsia"/>
          <w:color w:val="202124"/>
          <w:sz w:val="42"/>
          <w:szCs w:val="42"/>
        </w:rPr>
        <w:t>《華爾街日報》週日援引知情人士的話報導</w:t>
      </w:r>
      <w:r>
        <w:rPr>
          <w:rStyle w:val="y2iqfc"/>
          <w:rFonts w:ascii="PMingLiU" w:eastAsia="PMingLiU" w:hAnsi="PMingLiU" w:cs="PMingLiU" w:hint="eastAsia"/>
          <w:color w:val="202124"/>
          <w:sz w:val="42"/>
          <w:szCs w:val="42"/>
        </w:rPr>
        <w:lastRenderedPageBreak/>
        <w:t>稱，自</w:t>
      </w:r>
      <w:r>
        <w:rPr>
          <w:rStyle w:val="y2iqfc"/>
          <w:rFonts w:ascii="inherit" w:hAnsi="inherit" w:hint="eastAsia"/>
          <w:color w:val="202124"/>
          <w:sz w:val="42"/>
          <w:szCs w:val="42"/>
        </w:rPr>
        <w:t xml:space="preserve"> SVB </w:t>
      </w:r>
      <w:r>
        <w:rPr>
          <w:rStyle w:val="y2iqfc"/>
          <w:rFonts w:ascii="PMingLiU" w:eastAsia="PMingLiU" w:hAnsi="PMingLiU" w:cs="PMingLiU" w:hint="eastAsia"/>
          <w:color w:val="202124"/>
          <w:sz w:val="42"/>
          <w:szCs w:val="42"/>
        </w:rPr>
        <w:t>倒閉以來，其客戶已經提取了約</w:t>
      </w:r>
      <w:r>
        <w:rPr>
          <w:rStyle w:val="y2iqfc"/>
          <w:rFonts w:ascii="inherit" w:hAnsi="inherit" w:hint="eastAsia"/>
          <w:color w:val="202124"/>
          <w:sz w:val="42"/>
          <w:szCs w:val="42"/>
        </w:rPr>
        <w:t xml:space="preserve"> 700 </w:t>
      </w:r>
      <w:r>
        <w:rPr>
          <w:rStyle w:val="y2iqfc"/>
          <w:rFonts w:ascii="PMingLiU" w:eastAsia="PMingLiU" w:hAnsi="PMingLiU" w:cs="PMingLiU" w:hint="eastAsia"/>
          <w:color w:val="202124"/>
          <w:sz w:val="42"/>
          <w:szCs w:val="42"/>
        </w:rPr>
        <w:t>億美元的存款，佔其總持股的近</w:t>
      </w:r>
      <w:r>
        <w:rPr>
          <w:rStyle w:val="y2iqfc"/>
          <w:rFonts w:ascii="inherit" w:hAnsi="inherit" w:hint="eastAsia"/>
          <w:color w:val="202124"/>
          <w:sz w:val="42"/>
          <w:szCs w:val="42"/>
        </w:rPr>
        <w:t xml:space="preserve"> 40%</w:t>
      </w:r>
      <w:r>
        <w:rPr>
          <w:rStyle w:val="y2iqfc"/>
          <w:rFonts w:ascii="PMingLiU" w:eastAsia="PMingLiU" w:hAnsi="PMingLiU" w:cs="PMingLiU" w:hint="eastAsia"/>
          <w:color w:val="202124"/>
          <w:sz w:val="42"/>
          <w:szCs w:val="42"/>
        </w:rPr>
        <w:t>。</w:t>
      </w:r>
    </w:p>
    <w:p w14:paraId="2CD3704C" w14:textId="77777777" w:rsidR="00A7695A" w:rsidRDefault="00A7695A" w:rsidP="00A7695A">
      <w:pPr>
        <w:pStyle w:val="HTMLPreformatted"/>
        <w:shd w:val="clear" w:color="auto" w:fill="F8F9FA"/>
        <w:spacing w:line="480" w:lineRule="atLeast"/>
        <w:rPr>
          <w:rFonts w:ascii="inherit" w:hAnsi="inherit" w:hint="eastAsia"/>
          <w:color w:val="202124"/>
          <w:sz w:val="42"/>
          <w:szCs w:val="42"/>
        </w:rPr>
      </w:pPr>
    </w:p>
    <w:p w14:paraId="48B31104" w14:textId="4687DBD7" w:rsidR="00A7695A" w:rsidRDefault="00A7695A">
      <w:r w:rsidRPr="00A7695A">
        <w:t>Withdrawals slowed somewhat last week after a consortium of 11 banks, including JPMorgan Chase and Bank of America, banded together and on Thursday announced a $30 billion deposit at First Republic to help stabilize it. But over the long term, the bank is far from safe, especially after multiple rating agencies including Fitch Ratings, Moody’s, and S&amp;P Global issued negative credit ratings for the bank over the past week.</w:t>
      </w:r>
    </w:p>
    <w:p w14:paraId="6509A4D7" w14:textId="3E05AEDD" w:rsidR="00A7695A" w:rsidRDefault="00A7695A"/>
    <w:p w14:paraId="5E2E2877" w14:textId="77777777" w:rsidR="00A7695A" w:rsidRDefault="00A7695A" w:rsidP="00A7695A">
      <w:pPr>
        <w:pStyle w:val="HTMLPreformatted"/>
        <w:shd w:val="clear" w:color="auto" w:fill="F8F9FA"/>
        <w:spacing w:line="480" w:lineRule="atLeast"/>
        <w:rPr>
          <w:rFonts w:ascii="inherit" w:hAnsi="inherit"/>
          <w:color w:val="202124"/>
          <w:sz w:val="42"/>
          <w:szCs w:val="42"/>
        </w:rPr>
      </w:pPr>
      <w:r>
        <w:rPr>
          <w:rStyle w:val="y2iqfc"/>
          <w:rFonts w:ascii="PMingLiU" w:eastAsia="PMingLiU" w:hAnsi="PMingLiU" w:cs="PMingLiU" w:hint="eastAsia"/>
          <w:color w:val="202124"/>
          <w:sz w:val="42"/>
          <w:szCs w:val="42"/>
        </w:rPr>
        <w:t>在包括摩根大通和美國銀行在內的</w:t>
      </w:r>
      <w:r>
        <w:rPr>
          <w:rStyle w:val="y2iqfc"/>
          <w:rFonts w:ascii="inherit" w:hAnsi="inherit" w:hint="eastAsia"/>
          <w:color w:val="202124"/>
          <w:sz w:val="42"/>
          <w:szCs w:val="42"/>
        </w:rPr>
        <w:t xml:space="preserve"> 11 </w:t>
      </w:r>
      <w:r>
        <w:rPr>
          <w:rStyle w:val="y2iqfc"/>
          <w:rFonts w:ascii="PMingLiU" w:eastAsia="PMingLiU" w:hAnsi="PMingLiU" w:cs="PMingLiU" w:hint="eastAsia"/>
          <w:color w:val="202124"/>
          <w:sz w:val="42"/>
          <w:szCs w:val="42"/>
        </w:rPr>
        <w:t>家銀行組成的財團聯合起來並於週四宣佈在</w:t>
      </w:r>
      <w:r>
        <w:rPr>
          <w:rStyle w:val="y2iqfc"/>
          <w:rFonts w:ascii="inherit" w:hAnsi="inherit" w:hint="eastAsia"/>
          <w:color w:val="202124"/>
          <w:sz w:val="42"/>
          <w:szCs w:val="42"/>
        </w:rPr>
        <w:t xml:space="preserve"> First Republic </w:t>
      </w:r>
      <w:r>
        <w:rPr>
          <w:rStyle w:val="y2iqfc"/>
          <w:rFonts w:ascii="PMingLiU" w:eastAsia="PMingLiU" w:hAnsi="PMingLiU" w:cs="PMingLiU" w:hint="eastAsia"/>
          <w:color w:val="202124"/>
          <w:sz w:val="42"/>
          <w:szCs w:val="42"/>
        </w:rPr>
        <w:t>提供</w:t>
      </w:r>
      <w:r>
        <w:rPr>
          <w:rStyle w:val="y2iqfc"/>
          <w:rFonts w:ascii="inherit" w:hAnsi="inherit" w:hint="eastAsia"/>
          <w:color w:val="202124"/>
          <w:sz w:val="42"/>
          <w:szCs w:val="42"/>
        </w:rPr>
        <w:t xml:space="preserve"> 300 </w:t>
      </w:r>
      <w:r>
        <w:rPr>
          <w:rStyle w:val="y2iqfc"/>
          <w:rFonts w:ascii="PMingLiU" w:eastAsia="PMingLiU" w:hAnsi="PMingLiU" w:cs="PMingLiU" w:hint="eastAsia"/>
          <w:color w:val="202124"/>
          <w:sz w:val="42"/>
          <w:szCs w:val="42"/>
        </w:rPr>
        <w:t>億美元的存款以幫助穩定它之後，上週取款有所放緩。但從長遠來看，該銀行遠非安全，尤其是在包括惠譽評級、穆迪和標準普爾全球在內的多家評級機構在過去一周對該銀行發出負面信用評級之後。</w:t>
      </w:r>
    </w:p>
    <w:p w14:paraId="7B121731" w14:textId="77777777" w:rsidR="00A7695A" w:rsidRDefault="00A7695A"/>
    <w:sectPr w:rsidR="00A76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5A"/>
    <w:rsid w:val="003512C0"/>
    <w:rsid w:val="00A769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E04D"/>
  <w15:chartTrackingRefBased/>
  <w15:docId w15:val="{AA7F23A1-14B3-46D6-B09F-FF60367D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95A"/>
    <w:rPr>
      <w:color w:val="0000FF"/>
      <w:u w:val="single"/>
    </w:rPr>
  </w:style>
  <w:style w:type="paragraph" w:styleId="HTMLPreformatted">
    <w:name w:val="HTML Preformatted"/>
    <w:basedOn w:val="Normal"/>
    <w:link w:val="HTMLPreformattedChar"/>
    <w:uiPriority w:val="99"/>
    <w:semiHidden/>
    <w:unhideWhenUsed/>
    <w:rsid w:val="00A7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95A"/>
    <w:rPr>
      <w:rFonts w:ascii="Courier New" w:eastAsia="Times New Roman" w:hAnsi="Courier New" w:cs="Courier New"/>
      <w:sz w:val="20"/>
      <w:szCs w:val="20"/>
    </w:rPr>
  </w:style>
  <w:style w:type="character" w:customStyle="1" w:styleId="y2iqfc">
    <w:name w:val="y2iqfc"/>
    <w:basedOn w:val="DefaultParagraphFont"/>
    <w:rsid w:val="00A7695A"/>
  </w:style>
  <w:style w:type="character" w:styleId="Emphasis">
    <w:name w:val="Emphasis"/>
    <w:basedOn w:val="DefaultParagraphFont"/>
    <w:uiPriority w:val="20"/>
    <w:qFormat/>
    <w:rsid w:val="00A76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4137">
      <w:bodyDiv w:val="1"/>
      <w:marLeft w:val="0"/>
      <w:marRight w:val="0"/>
      <w:marTop w:val="0"/>
      <w:marBottom w:val="0"/>
      <w:divBdr>
        <w:top w:val="none" w:sz="0" w:space="0" w:color="auto"/>
        <w:left w:val="none" w:sz="0" w:space="0" w:color="auto"/>
        <w:bottom w:val="none" w:sz="0" w:space="0" w:color="auto"/>
        <w:right w:val="none" w:sz="0" w:space="0" w:color="auto"/>
      </w:divBdr>
    </w:div>
    <w:div w:id="510990203">
      <w:bodyDiv w:val="1"/>
      <w:marLeft w:val="0"/>
      <w:marRight w:val="0"/>
      <w:marTop w:val="0"/>
      <w:marBottom w:val="0"/>
      <w:divBdr>
        <w:top w:val="none" w:sz="0" w:space="0" w:color="auto"/>
        <w:left w:val="none" w:sz="0" w:space="0" w:color="auto"/>
        <w:bottom w:val="none" w:sz="0" w:space="0" w:color="auto"/>
        <w:right w:val="none" w:sz="0" w:space="0" w:color="auto"/>
      </w:divBdr>
    </w:div>
    <w:div w:id="206533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newsevents/pressreleases/monetary20230312b.htm" TargetMode="External"/><Relationship Id="rId3" Type="http://schemas.openxmlformats.org/officeDocument/2006/relationships/webSettings" Target="webSettings.xml"/><Relationship Id="rId7" Type="http://schemas.openxmlformats.org/officeDocument/2006/relationships/hyperlink" Target="https://fortune.com/2023/03/10/silicon-valley-bank-seized-regulators-bank-fail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tune.com/2023/03/11/silicon-valley-bank-run-42-billion-attempted-withdrawals-in-one-day/" TargetMode="External"/><Relationship Id="rId11" Type="http://schemas.openxmlformats.org/officeDocument/2006/relationships/theme" Target="theme/theme1.xml"/><Relationship Id="rId5" Type="http://schemas.openxmlformats.org/officeDocument/2006/relationships/hyperlink" Target="https://ir.svb.com/news-and-research/news/news-details/2023/SVB-Financial-Group-Announces-Proposed-Offerings-of-Common-Stock-and-Mandatory-Convertible-Preferred-Stock/default.aspx" TargetMode="External"/><Relationship Id="rId10" Type="http://schemas.openxmlformats.org/officeDocument/2006/relationships/fontTable" Target="fontTable.xml"/><Relationship Id="rId4" Type="http://schemas.openxmlformats.org/officeDocument/2006/relationships/hyperlink" Target="https://fortune.com/company/svb-financial-group/" TargetMode="External"/><Relationship Id="rId9" Type="http://schemas.openxmlformats.org/officeDocument/2006/relationships/hyperlink" Target="https://www.wsj.com/articles/first-republic-bank-looms-large-for-u-s-regulators-after-credit-suisse-sale-60b0e54e?mod=article_i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386</Words>
  <Characters>2201</Characters>
  <Application>Microsoft Office Word</Application>
  <DocSecurity>0</DocSecurity>
  <Lines>18</Lines>
  <Paragraphs>5</Paragraphs>
  <ScaleCrop>false</ScaleCrop>
  <Company>IIVI Incorporated</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Cheng-Chi Wu</dc:creator>
  <cp:keywords/>
  <dc:description/>
  <cp:lastModifiedBy>Cheng-Chi Wu</cp:lastModifiedBy>
  <cp:revision>1</cp:revision>
  <dcterms:created xsi:type="dcterms:W3CDTF">2023-03-20T22:19:00Z</dcterms:created>
  <dcterms:modified xsi:type="dcterms:W3CDTF">2023-03-20T22:23:00Z</dcterms:modified>
</cp:coreProperties>
</file>