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Inner Sleeve Archive Project Planning</w:t>
      </w:r>
    </w:p>
    <w:p>
      <w:r>
        <w:t>Diancheng Jiang</w:t>
        <w:br/>
        <w:t>X20250059@stu.hibiuh.edu.cn</w:t>
      </w:r>
    </w:p>
    <w:p>
      <w:r>
        <w:t>This document preserves the full planning content from the former Projects page, including five ideas, intended audiences, the selected direction, a scope comparison and implementation notes. It is course evidence; the Projects page has been removed from the public website. References to the original page structure are retained as planning history.</w:t>
      </w:r>
    </w:p>
    <w:p>
      <w:r>
        <w:t>05 / PROJECT NOTEBOOK</w:t>
      </w:r>
    </w:p>
    <w:p>
      <w:pPr>
        <w:pStyle w:val="Heading1"/>
      </w:pPr>
      <w:r>
        <w:t>The idea behind the archive.</w:t>
      </w:r>
    </w:p>
    <w:p>
      <w:r>
        <w:t>Five ways to introduce the same three artists. One clear direction: people first, with the music close at hand.</w:t>
      </w:r>
    </w:p>
    <w:p>
      <w:pPr>
        <w:pStyle w:val="Heading3"/>
      </w:pPr>
      <w:r>
        <w:t>Artist portrait archive</w:t>
      </w:r>
    </w:p>
    <w:p>
      <w:r>
        <w:t>One study per artist: background, creative development, a close reading and a short listening route. This is the selected direction.</w:t>
      </w:r>
    </w:p>
    <w:p>
      <w:r>
        <w:t>FOR WHOM Students who know a few songs and want to understand the people and choices behind them.</w:t>
      </w:r>
    </w:p>
    <w:p>
      <w:pPr>
        <w:pStyle w:val="Heading3"/>
      </w:pPr>
      <w:r>
        <w:t>One record, three worlds</w:t>
      </w:r>
    </w:p>
    <w:p>
      <w:r>
        <w:t>Introduce each artist through one representative album, connecting its structure, sound and visual identity.</w:t>
      </w:r>
    </w:p>
    <w:p>
      <w:r>
        <w:t>FOR WHOM Listeners ready to move from individual tracks into a full album.</w:t>
      </w:r>
    </w:p>
    <w:p>
      <w:pPr>
        <w:pStyle w:val="Heading3"/>
      </w:pPr>
      <w:r>
        <w:t>Creative languages compared</w:t>
      </w:r>
    </w:p>
    <w:p>
      <w:r>
        <w:t>Compare storytelling, vocal expression, production and visual choices across the three artists using specific examples.</w:t>
      </w:r>
    </w:p>
    <w:p>
      <w:r>
        <w:t>FOR WHOM Listeners familiar with all three who want to articulate their differences.</w:t>
      </w:r>
    </w:p>
    <w:p>
      <w:pPr>
        <w:pStyle w:val="Heading3"/>
      </w:pPr>
      <w:r>
        <w:t>Creative development timeline</w:t>
      </w:r>
    </w:p>
    <w:p>
      <w:r>
        <w:t>Use a small set of dated releases to show how an artist's work changes. Included here as a module within each portrait.</w:t>
      </w:r>
    </w:p>
    <w:p>
      <w:r>
        <w:t>FOR WHOM New fans who want a useful route through an artist's catalogue.</w:t>
      </w:r>
    </w:p>
    <w:p>
      <w:pPr>
        <w:pStyle w:val="Heading3"/>
      </w:pPr>
      <w:r>
        <w:t>A first-listen route</w:t>
      </w:r>
    </w:p>
    <w:p>
      <w:r>
        <w:t>Choose a route by a listening interest: memory, vocal intimacy or colourful production. The recommendations explain what to listen for.</w:t>
      </w:r>
    </w:p>
    <w:p>
      <w:r>
        <w:t>FOR WHOM Curious listeners who do not yet know which artist or song to try first.</w:t>
      </w:r>
    </w:p>
    <w:p>
      <w:r>
        <w:t>Selected idea / 01</w:t>
      </w:r>
    </w:p>
    <w:p>
      <w:pPr>
        <w:pStyle w:val="Heading2"/>
      </w:pPr>
      <w:r>
        <w:t>Inner Sleeve Archive</w:t>
      </w:r>
    </w:p>
    <w:p>
      <w:r>
        <w:t>A listening guide to the worlds of Frank Ocean, Daniel Caesar and Tyler, the Creator.</w:t>
      </w:r>
    </w:p>
    <w:p>
      <w:r>
        <w:t>Audience: university students who recognise some tracks but want a thoughtful, approachable introduction. The essential reading route is Home, Frank Ocean, Daniel Caesar and Tyler, the Creator. Quotes, Projects, Machine and Sources support that route.</w:t>
      </w:r>
    </w:p>
    <w:p>
      <w:r>
        <w:t>The page that must work: each artist study. A reader should leave with one creative choice they can explain and one song they want to hear. The Frank Ocean study establishes the shared page structure.</w:t>
      </w:r>
    </w:p>
    <w:p>
      <w:r>
        <w:t>Smallest worthwhile version: three portraits, three focus tracks, nine recommendations, working links and one browser interaction. The finished archive adds the course quote collection and a music-themed machine.</w:t>
      </w:r>
    </w:p>
    <w:p>
      <w:r>
        <w:t>Comparing the strongest three</w:t>
      </w:r>
    </w:p>
    <w:p>
      <w:pPr>
        <w:pStyle w:val="Heading2"/>
      </w:pPr>
      <w:r>
        <w:t>Why start with people?</w:t>
      </w:r>
    </w:p>
    <w:p>
      <w:r>
        <w:t>A scope comparison for a first web project.</w:t>
      </w:r>
    </w:p>
    <w:tbl>
      <w:tblPr>
        <w:tblStyle w:val="TableGrid"/>
        <w:tblW w:type="auto" w:w="0"/>
        <w:tblLayout w:type="fixed"/>
        <w:tblLook w:firstColumn="1" w:firstRow="1" w:lastColumn="0" w:lastRow="0" w:noHBand="0" w:noVBand="1" w:val="04A0"/>
      </w:tblPr>
      <w:tblGrid>
        <w:gridCol w:w="2473"/>
        <w:gridCol w:w="2473"/>
        <w:gridCol w:w="2473"/>
        <w:gridCol w:w="2473"/>
      </w:tblGrid>
      <w:tr>
        <w:trPr>
          <w:tblHeader/>
          <w:cantSplit/>
        </w:trPr>
        <w:tc>
          <w:tcPr>
            <w:tcW w:type="dxa" w:w="1656"/>
            <w:shd w:fill="E8E8E8"/>
          </w:tcPr>
          <w:p>
            <w:pPr>
              <w:spacing w:after="80" w:line="252" w:lineRule="auto"/>
            </w:pPr>
            <w:r>
              <w:rPr>
                <w:b/>
                <w:color w:val="000000"/>
                <w:sz w:val="19"/>
              </w:rPr>
              <w:t>Question</w:t>
            </w:r>
          </w:p>
        </w:tc>
        <w:tc>
          <w:tcPr>
            <w:tcW w:type="dxa" w:w="2736"/>
            <w:shd w:fill="E8E8E8"/>
          </w:tcPr>
          <w:p>
            <w:pPr>
              <w:spacing w:after="80" w:line="252" w:lineRule="auto"/>
            </w:pPr>
            <w:r>
              <w:rPr>
                <w:b/>
                <w:color w:val="000000"/>
                <w:sz w:val="19"/>
              </w:rPr>
              <w:t>Portrait archive</w:t>
            </w:r>
          </w:p>
        </w:tc>
        <w:tc>
          <w:tcPr>
            <w:tcW w:type="dxa" w:w="2736"/>
            <w:shd w:fill="E8E8E8"/>
          </w:tcPr>
          <w:p>
            <w:pPr>
              <w:spacing w:after="80" w:line="252" w:lineRule="auto"/>
            </w:pPr>
            <w:r>
              <w:rPr>
                <w:b/>
                <w:color w:val="000000"/>
                <w:sz w:val="19"/>
              </w:rPr>
              <w:t>Album introduction</w:t>
            </w:r>
          </w:p>
        </w:tc>
        <w:tc>
          <w:tcPr>
            <w:tcW w:type="dxa" w:w="2736"/>
            <w:shd w:fill="E8E8E8"/>
          </w:tcPr>
          <w:p>
            <w:pPr>
              <w:spacing w:after="80" w:line="252" w:lineRule="auto"/>
            </w:pPr>
            <w:r>
              <w:rPr>
                <w:b/>
                <w:color w:val="000000"/>
                <w:sz w:val="19"/>
              </w:rPr>
              <w:t>Creative comparison</w:t>
            </w:r>
          </w:p>
        </w:tc>
      </w:tr>
      <w:tr>
        <w:trPr>
          <w:cantSplit/>
        </w:trPr>
        <w:tc>
          <w:tcPr>
            <w:tcW w:type="dxa" w:w="1656"/>
          </w:tcPr>
          <w:p>
            <w:pPr>
              <w:spacing w:after="80" w:line="252" w:lineRule="auto"/>
            </w:pPr>
            <w:r>
              <w:rPr>
                <w:b w:val="0"/>
                <w:color w:val="000000"/>
                <w:sz w:val="19"/>
              </w:rPr>
              <w:t>Who benefits?</w:t>
            </w:r>
          </w:p>
        </w:tc>
        <w:tc>
          <w:tcPr>
            <w:tcW w:type="dxa" w:w="2736"/>
          </w:tcPr>
          <w:p>
            <w:pPr>
              <w:spacing w:after="80" w:line="252" w:lineRule="auto"/>
            </w:pPr>
            <w:r>
              <w:rPr>
                <w:b w:val="0"/>
                <w:color w:val="000000"/>
                <w:sz w:val="19"/>
              </w:rPr>
              <w:t>A first-time listener</w:t>
            </w:r>
          </w:p>
        </w:tc>
        <w:tc>
          <w:tcPr>
            <w:tcW w:type="dxa" w:w="2736"/>
          </w:tcPr>
          <w:p>
            <w:pPr>
              <w:spacing w:after="80" w:line="252" w:lineRule="auto"/>
            </w:pPr>
            <w:r>
              <w:rPr>
                <w:b w:val="0"/>
                <w:color w:val="000000"/>
                <w:sz w:val="19"/>
              </w:rPr>
              <w:t>A listener ready for an album</w:t>
            </w:r>
          </w:p>
        </w:tc>
        <w:tc>
          <w:tcPr>
            <w:tcW w:type="dxa" w:w="2736"/>
          </w:tcPr>
          <w:p>
            <w:pPr>
              <w:spacing w:after="80" w:line="252" w:lineRule="auto"/>
            </w:pPr>
            <w:r>
              <w:rPr>
                <w:b w:val="0"/>
                <w:color w:val="000000"/>
                <w:sz w:val="19"/>
              </w:rPr>
              <w:t>A listener who knows all three</w:t>
            </w:r>
          </w:p>
        </w:tc>
      </w:tr>
      <w:tr>
        <w:trPr>
          <w:cantSplit/>
        </w:trPr>
        <w:tc>
          <w:tcPr>
            <w:tcW w:type="dxa" w:w="1656"/>
          </w:tcPr>
          <w:p>
            <w:pPr>
              <w:spacing w:after="80" w:line="252" w:lineRule="auto"/>
            </w:pPr>
            <w:r>
              <w:rPr>
                <w:b w:val="0"/>
                <w:color w:val="000000"/>
                <w:sz w:val="19"/>
              </w:rPr>
              <w:t>Four core pages</w:t>
            </w:r>
          </w:p>
        </w:tc>
        <w:tc>
          <w:tcPr>
            <w:tcW w:type="dxa" w:w="2736"/>
          </w:tcPr>
          <w:p>
            <w:pPr>
              <w:spacing w:after="80" w:line="252" w:lineRule="auto"/>
            </w:pPr>
            <w:r>
              <w:rPr>
                <w:b w:val="0"/>
                <w:color w:val="000000"/>
                <w:sz w:val="19"/>
              </w:rPr>
              <w:t>Home + three artist portraits</w:t>
            </w:r>
          </w:p>
        </w:tc>
        <w:tc>
          <w:tcPr>
            <w:tcW w:type="dxa" w:w="2736"/>
          </w:tcPr>
          <w:p>
            <w:pPr>
              <w:spacing w:after="80" w:line="252" w:lineRule="auto"/>
            </w:pPr>
            <w:r>
              <w:rPr>
                <w:b w:val="0"/>
                <w:color w:val="000000"/>
                <w:sz w:val="19"/>
              </w:rPr>
              <w:t>Home + three album studies</w:t>
            </w:r>
          </w:p>
        </w:tc>
        <w:tc>
          <w:tcPr>
            <w:tcW w:type="dxa" w:w="2736"/>
          </w:tcPr>
          <w:p>
            <w:pPr>
              <w:spacing w:after="80" w:line="252" w:lineRule="auto"/>
            </w:pPr>
            <w:r>
              <w:rPr>
                <w:b w:val="0"/>
                <w:color w:val="000000"/>
                <w:sz w:val="19"/>
              </w:rPr>
              <w:t>Home + story, voice and visuals</w:t>
            </w:r>
          </w:p>
        </w:tc>
      </w:tr>
      <w:tr>
        <w:trPr>
          <w:cantSplit/>
        </w:trPr>
        <w:tc>
          <w:tcPr>
            <w:tcW w:type="dxa" w:w="1656"/>
          </w:tcPr>
          <w:p>
            <w:pPr>
              <w:spacing w:after="80" w:line="252" w:lineRule="auto"/>
            </w:pPr>
            <w:r>
              <w:rPr>
                <w:b w:val="0"/>
                <w:color w:val="000000"/>
                <w:sz w:val="19"/>
              </w:rPr>
              <w:t>Page that matters most</w:t>
            </w:r>
          </w:p>
        </w:tc>
        <w:tc>
          <w:tcPr>
            <w:tcW w:type="dxa" w:w="2736"/>
          </w:tcPr>
          <w:p>
            <w:pPr>
              <w:spacing w:after="80" w:line="252" w:lineRule="auto"/>
            </w:pPr>
            <w:r>
              <w:rPr>
                <w:b w:val="0"/>
                <w:color w:val="000000"/>
                <w:sz w:val="19"/>
              </w:rPr>
              <w:t>The artist study</w:t>
            </w:r>
          </w:p>
        </w:tc>
        <w:tc>
          <w:tcPr>
            <w:tcW w:type="dxa" w:w="2736"/>
          </w:tcPr>
          <w:p>
            <w:pPr>
              <w:spacing w:after="80" w:line="252" w:lineRule="auto"/>
            </w:pPr>
            <w:r>
              <w:rPr>
                <w:b w:val="0"/>
                <w:color w:val="000000"/>
                <w:sz w:val="19"/>
              </w:rPr>
              <w:t>The album listening guide</w:t>
            </w:r>
          </w:p>
        </w:tc>
        <w:tc>
          <w:tcPr>
            <w:tcW w:type="dxa" w:w="2736"/>
          </w:tcPr>
          <w:p>
            <w:pPr>
              <w:spacing w:after="80" w:line="252" w:lineRule="auto"/>
            </w:pPr>
            <w:r>
              <w:rPr>
                <w:b w:val="0"/>
                <w:color w:val="000000"/>
                <w:sz w:val="19"/>
              </w:rPr>
              <w:t>The side-by-side comparison</w:t>
            </w:r>
          </w:p>
        </w:tc>
      </w:tr>
      <w:tr>
        <w:trPr>
          <w:cantSplit/>
        </w:trPr>
        <w:tc>
          <w:tcPr>
            <w:tcW w:type="dxa" w:w="1656"/>
          </w:tcPr>
          <w:p>
            <w:pPr>
              <w:spacing w:after="80" w:line="252" w:lineRule="auto"/>
            </w:pPr>
            <w:r>
              <w:rPr>
                <w:b w:val="0"/>
                <w:color w:val="000000"/>
                <w:sz w:val="19"/>
              </w:rPr>
              <w:t>Minimum useful version</w:t>
            </w:r>
          </w:p>
        </w:tc>
        <w:tc>
          <w:tcPr>
            <w:tcW w:type="dxa" w:w="2736"/>
          </w:tcPr>
          <w:p>
            <w:pPr>
              <w:spacing w:after="80" w:line="252" w:lineRule="auto"/>
            </w:pPr>
            <w:r>
              <w:rPr>
                <w:b w:val="0"/>
                <w:color w:val="000000"/>
                <w:sz w:val="19"/>
              </w:rPr>
              <w:t>Short context + one work + three songs per artist</w:t>
            </w:r>
          </w:p>
        </w:tc>
        <w:tc>
          <w:tcPr>
            <w:tcW w:type="dxa" w:w="2736"/>
          </w:tcPr>
          <w:p>
            <w:pPr>
              <w:spacing w:after="80" w:line="252" w:lineRule="auto"/>
            </w:pPr>
            <w:r>
              <w:rPr>
                <w:b w:val="0"/>
                <w:color w:val="000000"/>
                <w:sz w:val="19"/>
              </w:rPr>
              <w:t>Album context + three close readings per record</w:t>
            </w:r>
          </w:p>
        </w:tc>
        <w:tc>
          <w:tcPr>
            <w:tcW w:type="dxa" w:w="2736"/>
          </w:tcPr>
          <w:p>
            <w:pPr>
              <w:spacing w:after="80" w:line="252" w:lineRule="auto"/>
            </w:pPr>
            <w:r>
              <w:rPr>
                <w:b w:val="0"/>
                <w:color w:val="000000"/>
                <w:sz w:val="19"/>
              </w:rPr>
              <w:t>One specific example per artist per theme</w:t>
            </w:r>
          </w:p>
        </w:tc>
      </w:tr>
      <w:tr>
        <w:trPr>
          <w:cantSplit/>
        </w:trPr>
        <w:tc>
          <w:tcPr>
            <w:tcW w:type="dxa" w:w="1656"/>
          </w:tcPr>
          <w:p>
            <w:pPr>
              <w:spacing w:after="80" w:line="252" w:lineRule="auto"/>
            </w:pPr>
            <w:r>
              <w:rPr>
                <w:b w:val="0"/>
                <w:color w:val="000000"/>
                <w:sz w:val="19"/>
              </w:rPr>
              <w:t>Main challenge</w:t>
            </w:r>
          </w:p>
        </w:tc>
        <w:tc>
          <w:tcPr>
            <w:tcW w:type="dxa" w:w="2736"/>
          </w:tcPr>
          <w:p>
            <w:pPr>
              <w:spacing w:after="80" w:line="252" w:lineRule="auto"/>
            </w:pPr>
            <w:r>
              <w:rPr>
                <w:b w:val="0"/>
                <w:color w:val="000000"/>
                <w:sz w:val="19"/>
              </w:rPr>
              <w:t>Choosing useful facts and clear entry points</w:t>
            </w:r>
          </w:p>
        </w:tc>
        <w:tc>
          <w:tcPr>
            <w:tcW w:type="dxa" w:w="2736"/>
          </w:tcPr>
          <w:p>
            <w:pPr>
              <w:spacing w:after="80" w:line="252" w:lineRule="auto"/>
            </w:pPr>
            <w:r>
              <w:rPr>
                <w:b w:val="0"/>
                <w:color w:val="000000"/>
                <w:sz w:val="19"/>
              </w:rPr>
              <w:t>Explaining a whole record without overwhelming the reader</w:t>
            </w:r>
          </w:p>
        </w:tc>
        <w:tc>
          <w:tcPr>
            <w:tcW w:type="dxa" w:w="2736"/>
          </w:tcPr>
          <w:p>
            <w:pPr>
              <w:spacing w:after="80" w:line="252" w:lineRule="auto"/>
            </w:pPr>
            <w:r>
              <w:rPr>
                <w:b w:val="0"/>
                <w:color w:val="000000"/>
                <w:sz w:val="19"/>
              </w:rPr>
              <w:t>Supporting comparisons with enough evidence</w:t>
            </w:r>
          </w:p>
        </w:tc>
      </w:tr>
      <w:tr>
        <w:trPr>
          <w:cantSplit/>
        </w:trPr>
        <w:tc>
          <w:tcPr>
            <w:tcW w:type="dxa" w:w="1656"/>
          </w:tcPr>
          <w:p>
            <w:pPr>
              <w:spacing w:after="80" w:line="252" w:lineRule="auto"/>
            </w:pPr>
            <w:r>
              <w:rPr>
                <w:b w:val="0"/>
                <w:color w:val="000000"/>
                <w:sz w:val="19"/>
              </w:rPr>
              <w:t>Decision</w:t>
            </w:r>
          </w:p>
        </w:tc>
        <w:tc>
          <w:tcPr>
            <w:tcW w:type="dxa" w:w="2736"/>
          </w:tcPr>
          <w:p>
            <w:pPr>
              <w:spacing w:after="80" w:line="252" w:lineRule="auto"/>
            </w:pPr>
            <w:r>
              <w:rPr>
                <w:b w:val="0"/>
                <w:color w:val="000000"/>
                <w:sz w:val="19"/>
              </w:rPr>
              <w:t>Chosen as the main structure</w:t>
            </w:r>
          </w:p>
        </w:tc>
        <w:tc>
          <w:tcPr>
            <w:tcW w:type="dxa" w:w="2736"/>
          </w:tcPr>
          <w:p>
            <w:pPr>
              <w:spacing w:after="80" w:line="252" w:lineRule="auto"/>
            </w:pPr>
            <w:r>
              <w:rPr>
                <w:b w:val="0"/>
                <w:color w:val="000000"/>
                <w:sz w:val="19"/>
              </w:rPr>
              <w:t>Adapted into the focus-work section</w:t>
            </w:r>
          </w:p>
        </w:tc>
        <w:tc>
          <w:tcPr>
            <w:tcW w:type="dxa" w:w="2736"/>
          </w:tcPr>
          <w:p>
            <w:pPr>
              <w:spacing w:after="80" w:line="252" w:lineRule="auto"/>
            </w:pPr>
            <w:r>
              <w:rPr>
                <w:b w:val="0"/>
                <w:color w:val="000000"/>
                <w:sz w:val="19"/>
              </w:rPr>
              <w:t>Used sparingly as an invitation to compare</w:t>
            </w:r>
          </w:p>
        </w:tc>
      </w:tr>
    </w:tbl>
    <w:p/>
    <w:p>
      <w:r>
        <w:t>A small, explainable website</w:t>
      </w:r>
    </w:p>
    <w:p>
      <w:pPr>
        <w:pStyle w:val="Heading2"/>
      </w:pPr>
      <w:r>
        <w:t>Built to be read. Made to be understood.</w:t>
      </w:r>
    </w:p>
    <w:p>
      <w:r>
        <w:t>Semantic HTML gives each part a purpose. CSS handles the dark archive layout and phone view. Plain JavaScript reuses the navigation, switches reading sections, filters quotes and runs the game. No account, database or stored personal information is needed.</w:t>
      </w:r>
    </w:p>
    <w:p>
      <w:r>
        <w:t>Research and drafting were assisted by AI. Biographical facts and short quotations have linked sources; listening notes are editorial interpretations. The final author should review and personalise the text before submission.</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Inner Sleeve Archive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Inner Sleeve Archive Project Planning</dc:title>
  <dc:subject/>
  <dc:creator>Diancheng Jiang</dc:creator>
  <cp:keywords/>
  <dc:description>generated by python-docx</dc:description>
  <cp:lastModifiedBy/>
  <cp:revision>1</cp:revision>
  <dcterms:created xsi:type="dcterms:W3CDTF">2013-12-23T23:15:00Z</dcterms:created>
  <dcterms:modified xsi:type="dcterms:W3CDTF">2013-12-23T23:15:00Z</dcterms:modified>
  <cp:category/>
</cp:coreProperties>
</file>