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  <w:p>
      <w:pPr>
        <w:spacing w:before="1200"/>
        <w:shd w:fill="0B1D3A" w:val="clear"/>
      </w:pPr>
      <w:r>
        <w:rPr>
          <w:sz w:val="40"/>
        </w:rPr>
        <w:t xml:space="preserve"> 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日期  </w:t>
      </w:r>
      <w:r>
        <w:rPr>
          <w:rFonts w:ascii="等线" w:hAnsi="等线" w:eastAsia="等线"/>
          <w:color w:val="666666"/>
          <w:sz w:val="18"/>
        </w:rPr>
        <w:t>2026年6月21日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编制  </w:t>
      </w:r>
      <w:r>
        <w:rPr>
          <w:rFonts w:ascii="等线" w:hAnsi="等线" w:eastAsia="等线"/>
          <w:color w:val="666666"/>
          <w:sz w:val="18"/>
        </w:rPr>
        <w:t>调研部/苏砚清</w:t>
      </w:r>
    </w:p>
    <w:p>
      <w:pPr>
        <w:spacing w:after="80"/>
        <w:jc w:val="center"/>
      </w:pPr>
      <w:r>
        <w:rPr>
          <w:rFonts w:ascii="等线" w:hAnsi="等线" w:eastAsia="等线"/>
          <w:color w:val="999999"/>
          <w:sz w:val="18"/>
        </w:rPr>
        <w:t xml:space="preserve">部门  </w:t>
      </w:r>
      <w:r>
        <w:rPr>
          <w:rFonts w:ascii="等线" w:hAnsi="等线" w:eastAsia="等线"/>
          <w:color w:val="666666"/>
          <w:sz w:val="18"/>
        </w:rPr>
        <w:t>调研部</w:t>
      </w:r>
    </w:p>
    <w:p>
      <w:pPr>
        <w:spacing w:after="480"/>
        <w:jc w:val="center"/>
      </w:pPr>
      <w:r>
        <w:rPr>
          <w:color w:val="CCCCCC"/>
          <w:sz w:val="8"/>
        </w:rPr>
        <w:t>────────────────────</w:t>
      </w:r>
    </w:p>
    <w:p>
      <w:pPr>
        <w:spacing w:after="1000"/>
        <w:jc w:val="center"/>
      </w:pPr>
      <w:r>
        <w:rPr>
          <w:rFonts w:ascii="等线" w:hAnsi="等线" w:eastAsia="等线"/>
          <w:color w:val="666666"/>
          <w:sz w:val="21"/>
        </w:rPr>
        <w:t>机密 | 麦肯锡式战略分析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0B1D3A"/>
          <w:sz w:val="44"/>
        </w:rPr>
        <w:t>个人闲置算力出租市场调研报告</w:t>
      </w:r>
    </w:p>
    <w:p>
      <w:pPr>
        <w:spacing w:after="640"/>
        <w:jc w:val="center"/>
      </w:pPr>
      <w:r>
        <w:rPr>
          <w:rFonts w:ascii="Arial" w:hAnsi="Arial"/>
          <w:color w:val="999999"/>
          <w:sz w:val="18"/>
        </w:rPr>
        <w:t>MKT-2026-0068</w:t>
      </w:r>
    </w:p>
    <w:p>
      <w:pPr>
        <w:spacing w:after="120"/>
        <w:jc w:val="center"/>
      </w:pPr>
      <w:r>
        <w:rPr>
          <w:rFonts w:ascii="黑体" w:hAnsi="黑体" w:eastAsia="黑体"/>
          <w:b/>
          <w:color w:val="C4A45A"/>
          <w:sz w:val="22"/>
        </w:rPr>
        <w:t>内部使用</w:t>
      </w:r>
    </w:p>
    <w:p>
      <w:pPr>
        <w:spacing w:before="400" w:after="400"/>
        <w:jc w:val="center"/>
      </w:pPr>
      <w:r>
        <w:rPr>
          <w:color w:val="C4A45A"/>
          <w:sz w:val="12"/>
        </w:rPr>
        <w:t>────────────────────────</w:t>
      </w:r>
    </w:p>
    <w:p>
      <w:pPr>
        <w:spacing w:after="0"/>
        <w:jc w:val="center"/>
      </w:pPr>
      <w:r>
        <w:rPr>
          <w:rFonts w:ascii="黑体" w:hAnsi="黑体" w:eastAsia="黑体"/>
          <w:b/>
          <w:color w:val="0B1D3A"/>
          <w:sz w:val="52"/>
        </w:rPr>
        <w:t>中 普 咨 询</w:t>
      </w:r>
    </w:p>
    <w:p>
      <w:pPr>
        <w:spacing w:after="0"/>
        <w:jc w:val="center"/>
      </w:pPr>
      <w:r>
        <w:rPr>
          <w:rFonts w:ascii="Arial" w:hAnsi="Arial" w:eastAsia="黑体"/>
          <w:b w:val="0"/>
          <w:color w:val="999999"/>
          <w:sz w:val="22"/>
        </w:rPr>
        <w:t>ZHONGPU</w:t>
      </w:r>
    </w:p>
    <w:p>
      <w:pPr>
        <w:spacing w:after="0"/>
        <w:shd w:fill="0B1D3A" w:val="clear"/>
      </w:pPr>
      <w:r>
        <w:rPr>
          <w:sz w:val="160"/>
        </w:rPr>
        <w:t xml:space="preserve"> 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r>
        <w:pict>
          <v:rect style="width:0;height:1.5pt" o:hralign="center" o:hrstd="t" o:hr="t"/>
        </w:pict>
      </w:r>
    </w:p>
    <w:bookmarkEnd w:id="9"/>
    <w:bookmarkStart w:id="12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bookmarkStart w:id="10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pStyle w:val="FirstParagraph"/>
      </w:pPr>
      <w:r>
        <w:rPr>
          <w:rFonts w:hint="eastAsia"/>
        </w:rPr>
        <w:t xml:space="preserve">本报告基于对全球个人闲置算力出租市场的系统调研，覆盖平台生态、经济模型、政策法规、竞争格局和战略机遇五个维度，形成以下核心判断：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市场判断：</w:t>
      </w:r>
      <w:r>
        <w:t xml:space="preserve"> </w:t>
      </w:r>
      <w:r>
        <w:rPr>
          <w:rFonts w:hint="eastAsia"/>
        </w:rPr>
        <w:t xml:space="preserve">全球去中心化算力共享市场正处于爆发前夜。2024年全球GPU云市场规模约$320亿，而去中心化/P2P算力共享细分市场约$15-25亿，渗透率不足8%。在AI大模型训练推理需求激增（年增速&gt;40%）和GPU供给短缺的双重推动下，预计2030年该细分市场将达$80-150亿（CAGR</w:t>
      </w:r>
      <w:r>
        <w:t xml:space="preserve"> </w:t>
      </w:r>
      <w:r>
        <w:rPr>
          <w:rFonts w:hint="eastAsia"/>
        </w:rPr>
        <w:t xml:space="preserve">30-45%）。中国市场受”东数西算”国家战略和算力网络建设驱动，个人算力共享正在从灰色地带走向政策鼓励的规范化发展轨道。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技术判断：</w:t>
      </w:r>
      <w:r>
        <w:t xml:space="preserve"> </w:t>
      </w:r>
      <w:r>
        <w:rPr>
          <w:rFonts w:hint="eastAsia"/>
        </w:rPr>
        <w:t xml:space="preserve">算力共享的技术栈正在快速成熟——容器化部署（Docker/K8s）、GPU虚拟化（MIG/vGPU）、区块链结算、去中心化调度，四大技术支柱已基本就绪。关键瓶颈在于网络延迟（对分布式训练影响显著）和可信执行环境（TEE）的安全认证。边缘计算与算力共享的融合是下一阶段的技术演进方向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竞争判断：</w:t>
      </w:r>
      <w:r>
        <w:t xml:space="preserve"> </w:t>
      </w:r>
      <w:r>
        <w:rPr>
          <w:rFonts w:hint="eastAsia"/>
        </w:rPr>
        <w:t xml:space="preserve">全球形成”四类玩家”格局——（1）中心化GPU云平台（Vast.ai、RunPod），以P2P模式连接供需；（2）区块链去中心化算力网络（Akash、Render</w:t>
      </w:r>
      <w:r>
        <w:t xml:space="preserve"> </w:t>
      </w:r>
      <w:r>
        <w:rPr>
          <w:rFonts w:hint="eastAsia"/>
        </w:rPr>
        <w:t xml:space="preserve">Network、io.net），以代币经济激励供给；（3）消费级共享应用（Salad、Golem），聚焦游戏PC闲置资源；（4）中国本土平台（趋动云、矩池云、阿里云GPU共享），受政策监管影响更为谨慎。当前平台方抽成约15-25%，供给端竞争激烈，单卡收益呈下降趋势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战略建议：</w:t>
      </w:r>
      <w:r>
        <w:t xml:space="preserve"> </w:t>
      </w:r>
      <w:r>
        <w:rPr>
          <w:rFonts w:hint="eastAsia"/>
        </w:rPr>
        <w:t xml:space="preserve">对个人算力出租者，建议采取”平台组合+时段优化”策略——优先选择Vast.ai（全球流动性最好）或RunPod（更稳定），长期部署选高价时段（北美工作日白天）。对机构和投资者，建议关注三个战略机会点：（1）算力聚合运营商（帮助个人管理多平台）；（2）边缘算力节点基础设施（结合5G基站下沉）；（3）合规化算力交易平台（中国政策窗口）。</w:t>
      </w:r>
    </w:p>
    <w:bookmarkEnd w:id="10"/>
    <w:bookmarkStart w:id="11" w:name="关键数字"/>
    <w:p>
      <w:pPr>
        <w:pStyle w:val="Heading3"/>
      </w:pPr>
      <w:r>
        <w:rPr>
          <w:rFonts w:hint="eastAsia"/>
        </w:rPr>
        <w:t xml:space="preserve">关键数字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2024年全球GPU云市场规模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≈$320亿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去中心化算力共享市场规模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≈$15-25亿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2030年去中心化算力共享市场（预测）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≈$80-150亿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Vast.ai在线GPU数量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&gt;20,000张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4090月均出租收益（全球均价）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$150-350/月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3090月均出租收益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$100-200/月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A100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80GB月均出租收益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$500-1,200/月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平台方抽成比例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中国个人GPU持有量（游戏级及以上）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≈800-1,200万张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个人算力出租回本周期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12-24个月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全球算力共享活跃供给节点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≈15-30万个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行业定义与核心特性"/>
    <w:p>
      <w:pPr>
        <w:pStyle w:val="Heading2"/>
      </w:pPr>
      <w:r>
        <w:t xml:space="preserve">2. </w:t>
      </w:r>
      <w:r>
        <w:rPr>
          <w:rFonts w:hint="eastAsia"/>
        </w:rPr>
        <w:t xml:space="preserve">行业定义与核心特性</w:t>
      </w:r>
    </w:p>
    <w:bookmarkStart w:id="13" w:name="定义"/>
    <w:p>
      <w:pPr>
        <w:pStyle w:val="Heading3"/>
      </w:pP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个人闲置算力出租（Personal</w:t>
      </w:r>
      <w:r>
        <w:t xml:space="preserve"> Idle Compute Power </w:t>
      </w:r>
      <w:r>
        <w:rPr>
          <w:rFonts w:hint="eastAsia"/>
        </w:rPr>
        <w:t xml:space="preserve">Rental）是指个人或小型组织将其拥有的GPU/CPU计算资源在空闲时段通过第三方平台或点对点（P2P）协议出租给其他用户，以获取经济回报的经济行为。这是共享经济（Sharing</w:t>
      </w:r>
      <w:r>
        <w:t xml:space="preserve"> </w:t>
      </w:r>
      <w:r>
        <w:rPr>
          <w:rFonts w:hint="eastAsia"/>
        </w:rPr>
        <w:t xml:space="preserve">Economy）在算力领域的延伸，也被称为算力共享（Compute</w:t>
      </w:r>
      <w:r>
        <w:t xml:space="preserve"> </w:t>
      </w:r>
      <w:r>
        <w:rPr>
          <w:rFonts w:hint="eastAsia"/>
        </w:rPr>
        <w:t xml:space="preserve">Sharing）、分布式GPU云（Distributed</w:t>
      </w:r>
      <w:r>
        <w:t xml:space="preserve"> GPU </w:t>
      </w:r>
      <w:r>
        <w:rPr>
          <w:rFonts w:hint="eastAsia"/>
        </w:rPr>
        <w:t xml:space="preserve">Cloud）或去中心化算力市场（Decentralized</w:t>
      </w:r>
      <w:r>
        <w:t xml:space="preserve"> Compute </w:t>
      </w:r>
      <w:r>
        <w:rPr>
          <w:rFonts w:hint="eastAsia"/>
        </w:rPr>
        <w:t xml:space="preserve">Marketplace）。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核心特征：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供给端去中心化：</w:t>
      </w:r>
      <w:r>
        <w:t xml:space="preserve"> </w:t>
      </w:r>
      <w:r>
        <w:rPr>
          <w:rFonts w:hint="eastAsia"/>
        </w:rPr>
        <w:t xml:space="preserve">供给方为分散的个人或小规模数据中心，而非AWS/Azure/GCP等集中式云厂商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价格市场化：</w:t>
      </w:r>
      <w:r>
        <w:t xml:space="preserve"> </w:t>
      </w:r>
      <w:r>
        <w:rPr>
          <w:rFonts w:hint="eastAsia"/>
        </w:rPr>
        <w:t xml:space="preserve">价格由供需关系实时决定，波动幅度显著大于传统云服务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轻运营模式：</w:t>
      </w:r>
      <w:r>
        <w:t xml:space="preserve"> </w:t>
      </w:r>
      <w:r>
        <w:rPr>
          <w:rFonts w:hint="eastAsia"/>
        </w:rPr>
        <w:t xml:space="preserve">平台方不持有硬件资产，仅提供匹配、调度和结算服务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全球分布：</w:t>
      </w:r>
      <w:r>
        <w:t xml:space="preserve"> </w:t>
      </w:r>
      <w:r>
        <w:rPr>
          <w:rFonts w:hint="eastAsia"/>
        </w:rPr>
        <w:t xml:space="preserve">算力节点散布全球，时区差异形成自然的供需互补</w:t>
      </w:r>
    </w:p>
    <w:bookmarkEnd w:id="13"/>
    <w:bookmarkStart w:id="16" w:name="分类与细分领域"/>
    <w:p>
      <w:pPr>
        <w:pStyle w:val="Heading3"/>
      </w:pPr>
      <w:r>
        <w:t xml:space="preserve">2.2 </w:t>
      </w:r>
      <w:r>
        <w:rPr>
          <w:rFonts w:hint="eastAsia"/>
        </w:rPr>
        <w:t xml:space="preserve">分类与细分领域</w:t>
      </w:r>
    </w:p>
    <w:bookmarkStart w:id="14" w:name="按平台架构分类"/>
    <w:p>
      <w:pPr>
        <w:pStyle w:val="Heading4"/>
      </w:pPr>
      <w:r>
        <w:t xml:space="preserve">2.2.1 </w:t>
      </w:r>
      <w:r>
        <w:rPr>
          <w:rFonts w:hint="eastAsia"/>
        </w:rPr>
        <w:t xml:space="preserve">按平台架构分类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440"/>
        <w:gridCol w:w="2160"/>
        <w:gridCol w:w="2160"/>
        <w:gridCol w:w="21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代表平台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核心机制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中心化P2P市场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Vast.ai, RunPod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平台集中匹配+调度，法币结算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AI训练/推理、渲染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区块链去中心化网络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Akash, Render, io.net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智能合约调度，代币结算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Web3应用、渲染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消费级共享应用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Salad, Golem, NiceHash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客户端后台运行，自动匹配任务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挖矿、科学计算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企业级算力交易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CoreWeave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(早期),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FluidStack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B2B协议，长期合约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大规模AI训练</w:t>
            </w:r>
          </w:p>
        </w:tc>
      </w:tr>
    </w:tbl>
    <w:bookmarkEnd w:id="14"/>
    <w:bookmarkStart w:id="15" w:name="按硬件供给层级分类"/>
    <w:p>
      <w:pPr>
        <w:pStyle w:val="Heading4"/>
      </w:pPr>
      <w:r>
        <w:t xml:space="preserve">2.2.2 </w:t>
      </w:r>
      <w:r>
        <w:rPr>
          <w:rFonts w:hint="eastAsia"/>
        </w:rPr>
        <w:t xml:space="preserve">按硬件供给层级分类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284"/>
        <w:gridCol w:w="1926"/>
        <w:gridCol w:w="2354"/>
        <w:gridCol w:w="235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层级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典型硬件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月租金范围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主要租用方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消费级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3060/4060, GTX 1660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$30-80/月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小型AI微调、游戏渲染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高端消费级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4090, RTX 3090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$150-400/月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LLM推理、Stable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Diffusion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专业级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A6000, A5000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$250-600/月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专业渲染、中小训练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数据中心级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A100, H100, B200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$500-3,000/月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大规模训练、HPC</w:t>
            </w:r>
          </w:p>
        </w:tc>
      </w:tr>
    </w:tbl>
    <w:bookmarkEnd w:id="15"/>
    <w:bookmarkEnd w:id="16"/>
    <w:bookmarkStart w:id="17" w:name="核心参数对比表"/>
    <w:p>
      <w:pPr>
        <w:pStyle w:val="Heading3"/>
      </w:pPr>
      <w:r>
        <w:t xml:space="preserve">2.3 </w:t>
      </w:r>
      <w:r>
        <w:rPr>
          <w:rFonts w:hint="eastAsia"/>
        </w:rPr>
        <w:t xml:space="preserve">核心参数对比表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540"/>
        <w:gridCol w:w="1890"/>
        <w:gridCol w:w="1890"/>
        <w:gridCol w:w="1890"/>
        <w:gridCol w:w="171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传统云计算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(AWS/GCP)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中心化P2P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(Vast.ai)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去中心化网络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(Akash)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消费级共享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(Salad)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价格</w:t>
            </w: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 (A100/hr)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$3.00-5.00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$0.80-1.50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$0.60-1.20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价格</w:t>
            </w: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 (RTX 4090/hr)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不提供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$0.30-0.60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$0.25-0.50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以积分结算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最低起租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按需/预留实例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$5账户充值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≈$1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(AKT代币)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免费客户端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可靠性</w:t>
            </w: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99.95%+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无SLA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(约95-98%)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无SLA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(约90-95%)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部署速度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秒级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分钟级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自动分配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(VPC隔离)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中低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(依赖主机)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(TEE可选)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网络延迟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(专线可选)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不确定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(1-200ms)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全球节点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30+区域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40+数据中心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100+提供商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190+国家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结算货币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法币/信用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(信用卡)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AKT等代币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积分/礼品卡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供给方资质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企业认证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个人+KYC简化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消费级自动验证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产业链与价值链分析"/>
    <w:p>
      <w:pPr>
        <w:pStyle w:val="Heading2"/>
      </w:pPr>
      <w:r>
        <w:t xml:space="preserve">3. </w:t>
      </w:r>
      <w:r>
        <w:rPr>
          <w:rFonts w:hint="eastAsia"/>
        </w:rPr>
        <w:t xml:space="preserve">产业链与价值链分析</w:t>
      </w:r>
    </w:p>
    <w:bookmarkStart w:id="19" w:name="产业链全景"/>
    <w:p>
      <w:pPr>
        <w:pStyle w:val="Heading3"/>
      </w:pPr>
      <w:r>
        <w:t xml:space="preserve">3.1 </w:t>
      </w:r>
      <w:r>
        <w:rPr>
          <w:rFonts w:hint="eastAsia"/>
        </w:rPr>
        <w:t xml:space="preserve">产业链全景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算力共享产业链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├──────────┬──────────┬──────────┬──────────┬──────────┬──────────┤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硬件供给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平台/协议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算力聚合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调度分发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终端需求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配套服务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├──────────┼──────────┼──────────┼──────────┼──────────┼──────────┤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GPU厂商</w:t>
      </w:r>
      <w:r>
        <w:rPr>
          <w:rStyle w:val="VerbatimChar"/>
        </w:rPr>
        <w:t xml:space="preserve">   │ Vast.ai  │ </w:t>
      </w:r>
      <w:r>
        <w:rPr>
          <w:rStyle w:val="VerbatimChar"/>
          <w:rFonts w:hint="eastAsia"/>
        </w:rPr>
        <w:t xml:space="preserve">算力运营商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容器引擎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AI创业公司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保险/担保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(NVIDIA) │ RunPod   │ </w:t>
      </w:r>
      <w:r>
        <w:rPr>
          <w:rStyle w:val="VerbatimChar"/>
          <w:rFonts w:hint="eastAsia"/>
        </w:rPr>
        <w:t xml:space="preserve">(汇集个人</w:t>
      </w:r>
      <w:r>
        <w:rPr>
          <w:rStyle w:val="VerbatimChar"/>
        </w:rPr>
        <w:t xml:space="preserve"> │ (Docker)  │ </w:t>
      </w:r>
      <w:r>
        <w:rPr>
          <w:rStyle w:val="VerbatimChar"/>
          <w:rFonts w:hint="eastAsia"/>
        </w:rPr>
        <w:t xml:space="preserve">科研机构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硬件融资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AMD      │ Akash    │  </w:t>
      </w:r>
      <w:r>
        <w:rPr>
          <w:rStyle w:val="VerbatimChar"/>
          <w:rFonts w:hint="eastAsia"/>
        </w:rPr>
        <w:t xml:space="preserve">节点出售)</w:t>
      </w:r>
      <w:r>
        <w:rPr>
          <w:rStyle w:val="VerbatimChar"/>
        </w:rPr>
        <w:t xml:space="preserve"> │ K8s      │ </w:t>
      </w:r>
      <w:r>
        <w:rPr>
          <w:rStyle w:val="VerbatimChar"/>
          <w:rFonts w:hint="eastAsia"/>
        </w:rPr>
        <w:t xml:space="preserve">渲染工作室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电力优化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Intel    │ Render   │ FluidStack │ Slurm    │ </w:t>
      </w:r>
      <w:r>
        <w:rPr>
          <w:rStyle w:val="VerbatimChar"/>
          <w:rFonts w:hint="eastAsia"/>
        </w:rPr>
        <w:t xml:space="preserve">Web3项目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散热方案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│ io.net   │           │          │ </w:t>
      </w:r>
      <w:r>
        <w:rPr>
          <w:rStyle w:val="VerbatimChar"/>
          <w:rFonts w:hint="eastAsia"/>
        </w:rPr>
        <w:t xml:space="preserve">量化交易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合规咨询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个人持有者│</w:t>
      </w:r>
      <w:r>
        <w:rPr>
          <w:rStyle w:val="VerbatimChar"/>
        </w:rPr>
        <w:t xml:space="preserve"> Salad    │           │ </w:t>
      </w:r>
      <w:r>
        <w:rPr>
          <w:rStyle w:val="VerbatimChar"/>
          <w:rFonts w:hint="eastAsia"/>
        </w:rPr>
        <w:t xml:space="preserve">区块链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个人开发者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运维托管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小型DC</w:t>
      </w:r>
      <w:r>
        <w:rPr>
          <w:rStyle w:val="VerbatimChar"/>
        </w:rPr>
        <w:t xml:space="preserve">   │ Golem    │           │ </w:t>
      </w:r>
      <w:r>
        <w:rPr>
          <w:rStyle w:val="VerbatimChar"/>
          <w:rFonts w:hint="eastAsia"/>
        </w:rPr>
        <w:t xml:space="preserve">智能合约</w:t>
      </w:r>
      <w:r>
        <w:rPr>
          <w:rStyle w:val="VerbatimChar"/>
        </w:rPr>
        <w:t xml:space="preserve">   │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网吧</w:t>
      </w:r>
      <w:r>
        <w:rPr>
          <w:rStyle w:val="VerbatimChar"/>
        </w:rPr>
        <w:t xml:space="preserve">     │ NiceHash │           │          │          │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矿场转型</w:t>
      </w:r>
      <w:r>
        <w:rPr>
          <w:rStyle w:val="VerbatimChar"/>
        </w:rPr>
        <w:t xml:space="preserve">  │          │           │          │          │  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└──────────┴──────────┴──────────┴──────────┴──────────┴──────────┘</w:t>
      </w:r>
    </w:p>
    <w:bookmarkEnd w:id="19"/>
    <w:bookmarkStart w:id="20" w:name="价值分配模型"/>
    <w:p>
      <w:pPr>
        <w:pStyle w:val="Heading3"/>
      </w:pPr>
      <w:r>
        <w:t xml:space="preserve">3.2 </w:t>
      </w:r>
      <w:r>
        <w:rPr>
          <w:rFonts w:hint="eastAsia"/>
        </w:rPr>
        <w:t xml:space="preserve">价值分配模型</w:t>
      </w:r>
    </w:p>
    <w:p>
      <w:pPr>
        <w:pStyle w:val="FirstParagraph"/>
      </w:pPr>
      <w:r>
        <w:rPr>
          <w:rFonts w:hint="eastAsia"/>
        </w:rPr>
        <w:t xml:space="preserve">以一张RTX</w:t>
      </w:r>
      <w:r>
        <w:t xml:space="preserve"> </w:t>
      </w:r>
      <w:r>
        <w:rPr>
          <w:rFonts w:hint="eastAsia"/>
        </w:rPr>
        <w:t xml:space="preserve">4090在Vast.ai平台上的典型出租为例（假设月租金$300）：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760"/>
        <w:gridCol w:w="2640"/>
        <w:gridCol w:w="1760"/>
        <w:gridCol w:w="17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环节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分配金额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占比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GPU持有者（个人）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$225-255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75-85%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扣除平台费后的净收入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平台方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$45-75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15-25%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Vast.ai抽佣约15%，部分平台更高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电力成本（月耗电约150-200kWh）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$15-30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按$0.10-0.15/kWh计算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硬件折旧（3年直线折旧）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$45-60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4090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≈$1,600/36月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净收益（税前）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$135-180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45-60%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扣除所有成本后的纯收益</w:t>
            </w:r>
          </w:p>
        </w:tc>
      </w:tr>
    </w:tbl>
    <w:p>
      <w:pPr>
        <w:pStyle w:val="BodyText"/>
        <w:ind w:firstLine="640"/>
      </w:pPr>
      <w:r>
        <w:rPr>
          <w:rFonts w:hint="eastAsia"/>
          <w:b/>
          <w:bCs/>
        </w:rPr>
        <w:t xml:space="preserve">关键发现：</w:t>
      </w:r>
      <w:r>
        <w:t xml:space="preserve"> </w:t>
      </w:r>
      <w:r>
        <w:rPr>
          <w:rFonts w:hint="eastAsia"/>
        </w:rPr>
        <w:t xml:space="preserve">在$300/月的乐观场景下，RTX</w:t>
      </w:r>
      <w:r>
        <w:t xml:space="preserve"> </w:t>
      </w:r>
      <w:r>
        <w:rPr>
          <w:rFonts w:hint="eastAsia"/>
        </w:rPr>
        <w:t xml:space="preserve">4090约10-14个月可收回硬件投资。但实际平均出租率约50-70%，月均收益在$150-250之间更为常见，回本周期延长到16-24个月。</w:t>
      </w:r>
    </w:p>
    <w:bookmarkEnd w:id="20"/>
    <w:bookmarkStart w:id="21" w:name="价值驱动因素"/>
    <w:p>
      <w:pPr>
        <w:pStyle w:val="Heading3"/>
      </w:pPr>
      <w:r>
        <w:t xml:space="preserve">3.3 </w:t>
      </w:r>
      <w:r>
        <w:rPr>
          <w:rFonts w:hint="eastAsia"/>
        </w:rPr>
        <w:t xml:space="preserve">价值驱动因素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AI算力供需缺口：</w:t>
      </w:r>
      <w:r>
        <w:t xml:space="preserve"> </w:t>
      </w:r>
      <w:r>
        <w:t xml:space="preserve">NVIDIA </w:t>
      </w:r>
      <w:r>
        <w:rPr>
          <w:rFonts w:hint="eastAsia"/>
        </w:rPr>
        <w:t xml:space="preserve">GPU供不应求，H100/B200交付周期长达数月，溢出需求流向P2P市场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价格优势：</w:t>
      </w:r>
      <w:r>
        <w:t xml:space="preserve"> </w:t>
      </w:r>
      <w:r>
        <w:rPr>
          <w:rFonts w:hint="eastAsia"/>
        </w:rPr>
        <w:t xml:space="preserve">P2P算力比AWS/GCP同类GPU便宜50-80%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时区套利：</w:t>
      </w:r>
      <w:r>
        <w:t xml:space="preserve"> </w:t>
      </w:r>
      <w:r>
        <w:rPr>
          <w:rFonts w:hint="eastAsia"/>
        </w:rPr>
        <w:t xml:space="preserve">亚洲节点在北美白天时段出租，实现24小时利用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尾部需求满足：</w:t>
      </w:r>
      <w:r>
        <w:t xml:space="preserve"> </w:t>
      </w:r>
      <w:r>
        <w:rPr>
          <w:rFonts w:hint="eastAsia"/>
        </w:rPr>
        <w:t xml:space="preserve">小型团队和个人开发者无法获得云计算的最低承诺用量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市场规模与增长预测"/>
    <w:p>
      <w:pPr>
        <w:pStyle w:val="Heading2"/>
      </w:pPr>
      <w:r>
        <w:t xml:space="preserve">4. </w:t>
      </w:r>
      <w:r>
        <w:rPr>
          <w:rFonts w:hint="eastAsia"/>
        </w:rPr>
        <w:t xml:space="preserve">市场规模与增长预测</w:t>
      </w:r>
    </w:p>
    <w:bookmarkStart w:id="23" w:name="全球市场"/>
    <w:p>
      <w:pPr>
        <w:pStyle w:val="Heading3"/>
      </w:pPr>
      <w:r>
        <w:t xml:space="preserve">4.1 </w:t>
      </w:r>
      <w:r>
        <w:rPr>
          <w:rFonts w:hint="eastAsia"/>
        </w:rPr>
        <w:t xml:space="preserve">全球市场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年份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GPU云市场总规模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去中心化/P2P细分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渗透率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活跃供给节点数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≈$150亿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≈$5-8亿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3-5%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≈5-10万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≈$220亿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≈$10-15亿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5-7%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≈8-15万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≈$320亿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≈$15-25亿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≈15-30万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2025E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≈$460亿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≈$30-50亿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7-11%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≈25-50万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2027E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≈$800亿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≈$60-100亿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8-13%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≈50-100万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2030E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≈$1,500亿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≈$80-150亿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≈80-200万</w:t>
            </w:r>
          </w:p>
        </w:tc>
      </w:tr>
    </w:tbl>
    <w:p>
      <w:pPr>
        <w:pStyle w:val="BodyText"/>
        <w:ind w:firstLine="640"/>
      </w:pPr>
      <w:r>
        <w:rPr>
          <w:rFonts w:hint="eastAsia"/>
          <w:i/>
          <w:iCs/>
        </w:rPr>
        <w:t xml:space="preserve">数据来源：Grand</w:t>
      </w:r>
      <w:r>
        <w:rPr>
          <w:i/>
          <w:iCs/>
        </w:rPr>
        <w:t xml:space="preserve"> View Research, Fortune Business Insights, Messari, </w:t>
      </w:r>
      <w:r>
        <w:rPr>
          <w:rFonts w:hint="eastAsia"/>
          <w:i/>
          <w:iCs/>
        </w:rPr>
        <w:t xml:space="preserve">中普咨询整理估算</w:t>
      </w:r>
    </w:p>
    <w:bookmarkEnd w:id="23"/>
    <w:bookmarkStart w:id="24" w:name="市场增长驱动力"/>
    <w:p>
      <w:pPr>
        <w:pStyle w:val="Heading3"/>
      </w:pPr>
      <w:r>
        <w:t xml:space="preserve">4.2 </w:t>
      </w:r>
      <w:r>
        <w:rPr>
          <w:rFonts w:hint="eastAsia"/>
        </w:rPr>
        <w:t xml:space="preserve">市场增长驱动力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AI大模型军备竞赛：</w:t>
      </w:r>
      <w:r>
        <w:t xml:space="preserve"> </w:t>
      </w:r>
      <w:r>
        <w:rPr>
          <w:rFonts w:hint="eastAsia"/>
        </w:rPr>
        <w:t xml:space="preserve">GPT-5级模型训练需万卡集群，头部企业外溢需求巨大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推理需求爆发：</w:t>
      </w:r>
      <w:r>
        <w:t xml:space="preserve"> </w:t>
      </w:r>
      <w:r>
        <w:rPr>
          <w:rFonts w:hint="eastAsia"/>
        </w:rPr>
        <w:t xml:space="preserve">Agent应用普及（如Hermes</w:t>
      </w:r>
      <w:r>
        <w:t xml:space="preserve"> </w:t>
      </w:r>
      <w:r>
        <w:rPr>
          <w:rFonts w:hint="eastAsia"/>
        </w:rPr>
        <w:t xml:space="preserve">Agent类产品），推理算力需求年增200%+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GPU产能瓶颈：</w:t>
      </w:r>
      <w:r>
        <w:t xml:space="preserve"> </w:t>
      </w:r>
      <w:r>
        <w:rPr>
          <w:rFonts w:hint="eastAsia"/>
        </w:rPr>
        <w:t xml:space="preserve">NVIDIA年产能无法满足需求，H200/B300交付周期达6-12个月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边缘计算崛起：</w:t>
      </w:r>
      <w:r>
        <w:t xml:space="preserve"> </w:t>
      </w:r>
      <w:r>
        <w:rPr>
          <w:rFonts w:hint="eastAsia"/>
        </w:rPr>
        <w:t xml:space="preserve">5G+AI推动边缘推理，个人节点地理位置优势显现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Web3+AI融合：</w:t>
      </w:r>
      <w:r>
        <w:t xml:space="preserve"> </w:t>
      </w:r>
      <w:r>
        <w:rPr>
          <w:rFonts w:hint="eastAsia"/>
        </w:rPr>
        <w:t xml:space="preserve">去中心化AI训练和推理成为新范式，代币激励加速节点增长</w:t>
      </w:r>
    </w:p>
    <w:bookmarkEnd w:id="24"/>
    <w:bookmarkStart w:id="25" w:name="中国市场特殊性分析"/>
    <w:p>
      <w:pPr>
        <w:pStyle w:val="Heading3"/>
      </w:pPr>
      <w:r>
        <w:t xml:space="preserve">4.3 </w:t>
      </w:r>
      <w:r>
        <w:rPr>
          <w:rFonts w:hint="eastAsia"/>
        </w:rPr>
        <w:t xml:space="preserve">中国市场特殊性分析</w:t>
      </w:r>
    </w:p>
    <w:p>
      <w:pPr>
        <w:pStyle w:val="FirstParagraph"/>
      </w:pPr>
      <w:r>
        <w:rPr>
          <w:rFonts w:hint="eastAsia"/>
        </w:rPr>
        <w:t xml:space="preserve">中国个人算力出租市场面临独特的机遇与约束：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机遇：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“东数西算”</w:t>
      </w:r>
      <w:r>
        <w:rPr>
          <w:rFonts w:hint="eastAsia"/>
        </w:rPr>
        <w:t xml:space="preserve">工程总投资超¥4,000亿，算力网络建设纳入国家战略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中国游戏GPU保有量全球第一（Steam硬件调查中简体中文用户占比&gt;30%）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大量加密货币矿场转型需求，闲置A卡/N卡存量可观</w:t>
      </w:r>
      <w:r>
        <w:t xml:space="preserve"> </w:t>
      </w:r>
      <w:r>
        <w:t xml:space="preserve">- </w:t>
      </w:r>
      <w:r>
        <w:rPr>
          <w:rFonts w:hint="eastAsia"/>
        </w:rPr>
        <w:t xml:space="preserve">AI创业公司数量激增，中小团队算力缺口明显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约束：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跨境数据流动受《数据安全法》《个人信息保护法》严格限制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加密货币相关政策不确定性影响区块链算力平台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家用宽带商业使用受运营商服务条款限制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备案与许可证要求提高合规门槛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中国市场估算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中国GPU云市场规模（2024年）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≈¥450-600亿（$60-80亿）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个人闲置GPU可激活总量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≈300-500万张（游戏卡+矿卡）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去中心化/P2P算力占比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&lt;2%（远低于全球5-8%）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合规化率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&lt;30%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主流通证结算平台使用率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&lt;5%（受政策限制）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需求端深度分析"/>
    <w:p>
      <w:pPr>
        <w:pStyle w:val="Heading2"/>
      </w:pPr>
      <w:r>
        <w:t xml:space="preserve">5. </w:t>
      </w:r>
      <w:r>
        <w:rPr>
          <w:rFonts w:hint="eastAsia"/>
        </w:rPr>
        <w:t xml:space="preserve">需求端深度分析</w:t>
      </w:r>
    </w:p>
    <w:bookmarkStart w:id="31" w:name="核心需求场景"/>
    <w:p>
      <w:pPr>
        <w:pStyle w:val="Heading3"/>
      </w:pPr>
      <w:r>
        <w:t xml:space="preserve">5.1 </w:t>
      </w:r>
      <w:r>
        <w:rPr>
          <w:rFonts w:hint="eastAsia"/>
        </w:rPr>
        <w:t xml:space="preserve">核心需求场景</w:t>
      </w:r>
    </w:p>
    <w:bookmarkStart w:id="27" w:name="ai模型训练与微调占比约45"/>
    <w:p>
      <w:pPr>
        <w:pStyle w:val="Heading4"/>
      </w:pPr>
      <w:r>
        <w:t xml:space="preserve">5.1.1 </w:t>
      </w:r>
      <w:r>
        <w:rPr>
          <w:rFonts w:hint="eastAsia"/>
        </w:rPr>
        <w:t xml:space="preserve">AI模型训练与微调（占比约45%）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租用方画像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典型需求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租用时长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价格敏感度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AI创业公司（种子/A轮）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LoRA微调、小型训练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数天-数周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独立研究者/博士生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实验验证、论文复现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数小时-数天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中小企业AI团队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模型蒸馏、评估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数周-数月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Kaggle/竞赛参与者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短期高强度训练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</w:tr>
    </w:tbl>
    <w:p>
      <w:pPr>
        <w:pStyle w:val="BodyText"/>
        <w:ind w:firstLine="640"/>
      </w:pPr>
      <w:r>
        <w:rPr>
          <w:rFonts w:hint="eastAsia"/>
          <w:b/>
          <w:bCs/>
        </w:rPr>
        <w:t xml:space="preserve">典型案例：</w:t>
      </w:r>
      <w:r>
        <w:t xml:space="preserve"> </w:t>
      </w:r>
      <w:r>
        <w:rPr>
          <w:rFonts w:hint="eastAsia"/>
        </w:rPr>
        <w:t xml:space="preserve">某AI创业者使用Vast.ai租用8×A100集群进行7B模型微调，总花费$280（vs</w:t>
      </w:r>
      <w:r>
        <w:t xml:space="preserve"> </w:t>
      </w:r>
      <w:r>
        <w:rPr>
          <w:rFonts w:hint="eastAsia"/>
        </w:rPr>
        <w:t xml:space="preserve">AWS等效$1,200+），节省77%。</w:t>
      </w:r>
    </w:p>
    <w:bookmarkEnd w:id="27"/>
    <w:bookmarkStart w:id="28" w:name="ai推理与agent运行占比约25"/>
    <w:p>
      <w:pPr>
        <w:pStyle w:val="Heading4"/>
      </w:pPr>
      <w:r>
        <w:t xml:space="preserve">5.1.2 </w:t>
      </w:r>
      <w:r>
        <w:rPr>
          <w:rFonts w:hint="eastAsia"/>
        </w:rPr>
        <w:t xml:space="preserve">AI推理与Agent运行（占比约25%）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Agent应用</w:t>
      </w:r>
      <w:r>
        <w:rPr>
          <w:rFonts w:hint="eastAsia"/>
        </w:rPr>
        <w:t xml:space="preserve">（如Hermes</w:t>
      </w:r>
      <w:r>
        <w:t xml:space="preserve"> </w:t>
      </w:r>
      <w:r>
        <w:rPr>
          <w:rFonts w:hint="eastAsia"/>
        </w:rPr>
        <w:t xml:space="preserve">Agent、AutoGPT等）需要7×24小时GPU推理资源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图像/视频生成服务</w:t>
      </w:r>
      <w:r>
        <w:rPr>
          <w:rFonts w:hint="eastAsia"/>
        </w:rPr>
        <w:t xml:space="preserve">（Stable</w:t>
      </w:r>
      <w:r>
        <w:t xml:space="preserve"> </w:t>
      </w:r>
      <w:r>
        <w:rPr>
          <w:rFonts w:hint="eastAsia"/>
        </w:rPr>
        <w:t xml:space="preserve">Diffusion、可灵AI等）请求量波动大，弹性需求显著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语音识别/合成</w:t>
      </w:r>
      <w:r>
        <w:rPr>
          <w:rFonts w:hint="eastAsia"/>
        </w:rPr>
        <w:t xml:space="preserve">（Whisper、TTS）对延迟敏感但计算量中等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rPr>
          <w:rFonts w:hint="eastAsia"/>
        </w:rPr>
        <w:t xml:space="preserve">推理需求正在超越训练需求，成为算力增长的最大驱动力</w:t>
      </w:r>
    </w:p>
    <w:bookmarkEnd w:id="28"/>
    <w:bookmarkStart w:id="29" w:name="渲染与内容制作占比约20"/>
    <w:p>
      <w:pPr>
        <w:pStyle w:val="Heading4"/>
      </w:pPr>
      <w:r>
        <w:t xml:space="preserve">5.1.3 </w:t>
      </w:r>
      <w:r>
        <w:rPr>
          <w:rFonts w:hint="eastAsia"/>
        </w:rPr>
        <w:t xml:space="preserve">渲染与内容制作（占比约20%）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036"/>
        <w:gridCol w:w="2036"/>
        <w:gridCol w:w="1810"/>
        <w:gridCol w:w="2036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渲染类型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典型软件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GPU偏好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需求特征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3D动画渲染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Blender, Octane, Redshift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4090/3090多卡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批处理，时效要求中等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建筑可视化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V-Ray, Enscape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周期性（项目制）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视频后期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DaVinci Resolve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4090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短期高爆发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AI视频生成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可灵、Sora类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H100/A100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24×7持续</w:t>
            </w:r>
          </w:p>
        </w:tc>
      </w:tr>
    </w:tbl>
    <w:bookmarkEnd w:id="29"/>
    <w:bookmarkStart w:id="30" w:name="科学计算与web3占比约10"/>
    <w:p>
      <w:pPr>
        <w:pStyle w:val="Heading4"/>
      </w:pPr>
      <w:r>
        <w:t xml:space="preserve">5.1.4 </w:t>
      </w:r>
      <w:r>
        <w:rPr>
          <w:rFonts w:hint="eastAsia"/>
        </w:rPr>
        <w:t xml:space="preserve">科学计算与Web3（占比约10%）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分子动力学模拟（Folding@home类分布式计算）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加密货币挖矿（ETH转向PoS后GPU挖矿退潮，但AI训练替代需求上升）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零知识证明（ZK-Proof）生成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区块链节点验证</w:t>
      </w:r>
    </w:p>
    <w:bookmarkEnd w:id="30"/>
    <w:bookmarkEnd w:id="31"/>
    <w:bookmarkStart w:id="32" w:name="需求方决策因素"/>
    <w:p>
      <w:pPr>
        <w:pStyle w:val="Heading3"/>
      </w:pPr>
      <w:r>
        <w:t xml:space="preserve">5.2 </w:t>
      </w:r>
      <w:r>
        <w:rPr>
          <w:rFonts w:hint="eastAsia"/>
        </w:rPr>
        <w:t xml:space="preserve">需求方决策因素</w:t>
      </w:r>
    </w:p>
    <w:p>
      <w:pPr>
        <w:pStyle w:val="SourceCode"/>
      </w:pPr>
      <w:r>
        <w:rPr>
          <w:rStyle w:val="VerbatimChar"/>
          <w:rFonts w:hint="eastAsia"/>
        </w:rPr>
        <w:t xml:space="preserve">选择P2P算力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传统云的主要考量（按重要性排序）：</w:t>
      </w:r>
      <w:r>
        <w:br/>
      </w:r>
      <w:r>
        <w:br/>
      </w:r>
      <w:r>
        <w:rPr>
          <w:rStyle w:val="VerbatimChar"/>
        </w:rPr>
        <w:t xml:space="preserve">1. ════════════════════ </w:t>
      </w:r>
      <w:r>
        <w:rPr>
          <w:rStyle w:val="VerbatimChar"/>
          <w:rFonts w:hint="eastAsia"/>
        </w:rPr>
        <w:t xml:space="preserve">价格（权重：40%）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P2P便宜50-80%是最核心吸引力</w:t>
      </w:r>
      <w:r>
        <w:br/>
      </w:r>
      <w:r>
        <w:br/>
      </w:r>
      <w:r>
        <w:rPr>
          <w:rStyle w:val="VerbatimChar"/>
        </w:rPr>
        <w:t xml:space="preserve">2. ════════════════ </w:t>
      </w:r>
      <w:r>
        <w:rPr>
          <w:rStyle w:val="VerbatimChar"/>
          <w:rFonts w:hint="eastAsia"/>
        </w:rPr>
        <w:t xml:space="preserve">可用性（权重：25%）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传统云A100/H100经常缺货，P2P可即时获取</w:t>
      </w:r>
      <w:r>
        <w:br/>
      </w:r>
      <w:r>
        <w:br/>
      </w:r>
      <w:r>
        <w:rPr>
          <w:rStyle w:val="VerbatimChar"/>
        </w:rPr>
        <w:t xml:space="preserve">3. ════════════ </w:t>
      </w:r>
      <w:r>
        <w:rPr>
          <w:rStyle w:val="VerbatimChar"/>
          <w:rFonts w:hint="eastAsia"/>
        </w:rPr>
        <w:t xml:space="preserve">灵活性（权重：15%）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按时计费、无最低承诺、可随时切换节点</w:t>
      </w:r>
      <w:r>
        <w:br/>
      </w:r>
      <w:r>
        <w:br/>
      </w:r>
      <w:r>
        <w:rPr>
          <w:rStyle w:val="VerbatimChar"/>
        </w:rPr>
        <w:t xml:space="preserve">4. ════════ </w:t>
      </w:r>
      <w:r>
        <w:rPr>
          <w:rStyle w:val="VerbatimChar"/>
          <w:rFonts w:hint="eastAsia"/>
        </w:rPr>
        <w:t xml:space="preserve">免审核（权重：10%）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个人开发者无需企业认证或信用审核</w:t>
      </w:r>
      <w:r>
        <w:br/>
      </w:r>
      <w:r>
        <w:br/>
      </w:r>
      <w:r>
        <w:rPr>
          <w:rStyle w:val="VerbatimChar"/>
        </w:rPr>
        <w:t xml:space="preserve">5. ═══ </w:t>
      </w:r>
      <w:r>
        <w:rPr>
          <w:rStyle w:val="VerbatimChar"/>
          <w:rFonts w:hint="eastAsia"/>
        </w:rPr>
        <w:t xml:space="preserve">特定配置（权重：10%）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需要特定GPU型号或驱动版本时P2P选择更多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竞争格局与情报"/>
    <w:p>
      <w:pPr>
        <w:pStyle w:val="Heading2"/>
      </w:pPr>
      <w:r>
        <w:t xml:space="preserve">6. </w:t>
      </w:r>
      <w:r>
        <w:rPr>
          <w:rFonts w:hint="eastAsia"/>
        </w:rPr>
        <w:t xml:space="preserve">竞争格局与情报</w:t>
      </w:r>
    </w:p>
    <w:bookmarkStart w:id="38" w:name="全球主要平台对比"/>
    <w:p>
      <w:pPr>
        <w:pStyle w:val="Heading3"/>
      </w:pPr>
      <w:r>
        <w:t xml:space="preserve">6.1 </w:t>
      </w:r>
      <w:r>
        <w:rPr>
          <w:rFonts w:hint="eastAsia"/>
        </w:rPr>
        <w:t xml:space="preserve">全球主要平台对比</w:t>
      </w:r>
    </w:p>
    <w:bookmarkStart w:id="34" w:name="vast.ai-全球最大gpu-p2p市场"/>
    <w:p>
      <w:pPr>
        <w:pStyle w:val="Heading4"/>
      </w:pPr>
      <w:r>
        <w:t xml:space="preserve">6.1.1 Vast.ai — </w:t>
      </w:r>
      <w:r>
        <w:rPr>
          <w:rFonts w:hint="eastAsia"/>
        </w:rPr>
        <w:t xml:space="preserve">全球最大GPU</w:t>
      </w:r>
      <w:r>
        <w:t xml:space="preserve"> </w:t>
      </w:r>
      <w:r>
        <w:rPr>
          <w:rFonts w:hint="eastAsia"/>
        </w:rPr>
        <w:t xml:space="preserve">P2P市场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2018年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在线GPU数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&gt;20,000张（2026年）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覆盖区域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北美、欧洲、亚太40+数据中心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供给方准入门槛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极低（个人即可注册为Host）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平台抽佣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≈15%（从Host收入中扣除）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GPU种类最全、流动性最好、价格最低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可靠性无SLA、数据安全存疑、客服响应慢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2024年关键动向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SOC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2认证、Serverless产品线、CLI/SDK全面升级</w:t>
            </w:r>
          </w:p>
        </w:tc>
      </w:tr>
    </w:tbl>
    <w:bookmarkEnd w:id="34"/>
    <w:bookmarkStart w:id="35" w:name="runpod-面向开发者的gpu云"/>
    <w:p>
      <w:pPr>
        <w:pStyle w:val="Heading4"/>
      </w:pPr>
      <w:r>
        <w:t xml:space="preserve">6.1.2 RunPod — </w:t>
      </w:r>
      <w:r>
        <w:rPr>
          <w:rFonts w:hint="eastAsia"/>
        </w:rPr>
        <w:t xml:space="preserve">面向开发者的GPU云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2022年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Pods（按需GPU）+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Serverless（自动扩缩容）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GPU类型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B200到RTX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4090，30+SKU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全球区域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8+区域（含欧洲、亚太）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关键差异化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热启动（Hot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Start）Serverless，消除冷启动延迟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供给端策略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自有+合作数据中心为主，个人Host为辅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平台抽佣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约20-25%（隐含在定价中）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生产级AI推理、Agent部署</w:t>
            </w:r>
          </w:p>
        </w:tc>
      </w:tr>
    </w:tbl>
    <w:bookmarkEnd w:id="35"/>
    <w:bookmarkStart w:id="36" w:name="akash-network-去中心化云计算市场"/>
    <w:p>
      <w:pPr>
        <w:pStyle w:val="Heading4"/>
      </w:pPr>
      <w:r>
        <w:t xml:space="preserve">6.1.3 Akash Network — </w:t>
      </w:r>
      <w:r>
        <w:rPr>
          <w:rFonts w:hint="eastAsia"/>
        </w:rPr>
        <w:t xml:space="preserve">去中心化云计算市场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960"/>
        <w:gridCol w:w="396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2018年（主网2020年上线）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底层技术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Cosmos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SDK区块链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+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AKT代币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反向拍卖（租户出价，提供商竞价）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GPU定价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H200 ≈$2.59/hr, A100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≈$0.80/hr（2026年数据）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关键生态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AkashML（专注AI推理）、Razer合作案例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独特优势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抗审查、无需KYC、代币经济激励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主要局限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代币波动风险、技术门槛高、生态较小</w:t>
            </w:r>
          </w:p>
        </w:tc>
      </w:tr>
    </w:tbl>
    <w:bookmarkEnd w:id="36"/>
    <w:bookmarkStart w:id="37" w:name="其他重要玩家"/>
    <w:p>
      <w:pPr>
        <w:pStyle w:val="Heading4"/>
      </w:pPr>
      <w:r>
        <w:t xml:space="preserve">6.1.4 </w:t>
      </w:r>
      <w:r>
        <w:rPr>
          <w:rFonts w:hint="eastAsia"/>
        </w:rPr>
        <w:t xml:space="preserve">其他重要玩家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262"/>
        <w:gridCol w:w="2262"/>
        <w:gridCol w:w="339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平台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定位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Render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去中心化3D渲染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RNDR代币，专注Octane/Redshift渲染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io.net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Solana去中心化GPU网络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2024年推出，AI训练+推理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Salad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消费级PC共享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190+国家，以游戏奖励/礼品卡结算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Golem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通用去中心化算力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最早项目之一（2016年），以太坊生态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CoreWeave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从矿场转型GPU云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2024年估值$190亿，已脱离P2P范畴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FluidStack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算力聚合+B2B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汇集个人节点，面向企业客户</w:t>
            </w:r>
          </w:p>
        </w:tc>
      </w:tr>
    </w:tbl>
    <w:bookmarkEnd w:id="37"/>
    <w:bookmarkEnd w:id="38"/>
    <w:bookmarkStart w:id="39" w:name="中国市场竞争格局"/>
    <w:p>
      <w:pPr>
        <w:pStyle w:val="Heading3"/>
      </w:pPr>
      <w:r>
        <w:t xml:space="preserve">6.2 </w:t>
      </w:r>
      <w:r>
        <w:rPr>
          <w:rFonts w:hint="eastAsia"/>
        </w:rPr>
        <w:t xml:space="preserve">中国市场竞争格局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760"/>
        <w:gridCol w:w="1760"/>
        <w:gridCol w:w="176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平台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特点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合规状态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趋动云</w:t>
            </w: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 (VirtAI)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GPU池化平台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猎户座Orion软件，面向企业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矩池云</w:t>
            </w: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 (Matpool)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共享GPU租赁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面向AI开发者，按时租赁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阿里云GPU共享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云厂商延伸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cGPU/MIG分片共享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合规（企业级）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极客云/极链云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P2P算力共享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个人可出租，规模较小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⚠️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模糊地带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AutoDL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GPU租赁+Jupyter环境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滴滴云（已退出）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公有云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2024年关停GPU租赁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N/A</w:t>
            </w:r>
          </w:p>
        </w:tc>
      </w:tr>
    </w:tbl>
    <w:p>
      <w:pPr>
        <w:pStyle w:val="BodyText"/>
        <w:ind w:firstLine="640"/>
      </w:pPr>
      <w:r>
        <w:rPr>
          <w:rFonts w:hint="eastAsia"/>
          <w:b/>
          <w:bCs/>
        </w:rPr>
        <w:t xml:space="preserve">中国市场关键判断：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真正的C2C个人算力共享在中国几乎处于空白状态，最大障碍是合规不确定性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现有平台多为B2C模式（平台自持或合作数据中心硬件），个人出租通道极少</w:t>
      </w:r>
      <w:r>
        <w:t xml:space="preserve"> </w:t>
      </w:r>
      <w:r>
        <w:t xml:space="preserve">- </w:t>
      </w:r>
      <w:r>
        <w:rPr>
          <w:rFonts w:hint="eastAsia"/>
        </w:rPr>
        <w:t xml:space="preserve">矿场转型算力中心是更实际的路径（但面临电力、环评等审批）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“东数西算”</w:t>
      </w:r>
      <w:r>
        <w:rPr>
          <w:rFonts w:hint="eastAsia"/>
        </w:rPr>
        <w:t xml:space="preserve">战略下，西部算力中心是大方向，个人节点的角色有待政策明确</w:t>
      </w:r>
    </w:p>
    <w:bookmarkEnd w:id="39"/>
    <w:bookmarkStart w:id="40" w:name="竞争要素总结"/>
    <w:p>
      <w:pPr>
        <w:pStyle w:val="Heading3"/>
      </w:pPr>
      <w:r>
        <w:t xml:space="preserve">6.3 </w:t>
      </w:r>
      <w:r>
        <w:rPr>
          <w:rFonts w:hint="eastAsia"/>
        </w:rPr>
        <w:t xml:space="preserve">竞争要素总结</w:t>
      </w:r>
    </w:p>
    <w:p>
      <w:pPr>
        <w:pStyle w:val="SourceCode"/>
      </w:pPr>
      <w:r>
        <w:rPr>
          <w:rStyle w:val="VerbatimChar"/>
          <w:rFonts w:hint="eastAsia"/>
        </w:rPr>
        <w:t xml:space="preserve">市场竞争核心维度评估：</w:t>
      </w:r>
      <w:r>
        <w:br/>
      </w:r>
      <w:r>
        <w:br/>
      </w:r>
      <w:r>
        <w:rPr>
          <w:rStyle w:val="VerbatimChar"/>
          <w:rFonts w:hint="eastAsia"/>
        </w:rPr>
        <w:t xml:space="preserve">价格竞争力</w:t>
      </w:r>
      <w:r>
        <w:rPr>
          <w:rStyle w:val="VerbatimChar"/>
        </w:rPr>
        <w:t xml:space="preserve">  ████████████░░░░░░  Vast.ai &gt; Akash &gt; RunPod</w:t>
      </w:r>
      <w:r>
        <w:br/>
      </w:r>
      <w:r>
        <w:rPr>
          <w:rStyle w:val="VerbatimChar"/>
          <w:rFonts w:hint="eastAsia"/>
        </w:rPr>
        <w:t xml:space="preserve">供给丰富度</w:t>
      </w:r>
      <w:r>
        <w:rPr>
          <w:rStyle w:val="VerbatimChar"/>
        </w:rPr>
        <w:t xml:space="preserve">  ██████████████░░░░  Vast.ai &gt; Salad &gt; RunPod</w:t>
      </w:r>
      <w:r>
        <w:br/>
      </w:r>
      <w:r>
        <w:rPr>
          <w:rStyle w:val="VerbatimChar"/>
          <w:rFonts w:hint="eastAsia"/>
        </w:rPr>
        <w:t xml:space="preserve">可靠性</w:t>
      </w:r>
      <w:r>
        <w:rPr>
          <w:rStyle w:val="VerbatimChar"/>
        </w:rPr>
        <w:t xml:space="preserve">      ████████████████░░  RunPod &gt; Vast.ai &gt; Akash</w:t>
      </w:r>
      <w:r>
        <w:br/>
      </w:r>
      <w:r>
        <w:rPr>
          <w:rStyle w:val="VerbatimChar"/>
          <w:rFonts w:hint="eastAsia"/>
        </w:rPr>
        <w:t xml:space="preserve">易用性</w:t>
      </w:r>
      <w:r>
        <w:rPr>
          <w:rStyle w:val="VerbatimChar"/>
        </w:rPr>
        <w:t xml:space="preserve">      ██████████████░░░░  RunPod &gt; Salad &gt; Vast.ai</w:t>
      </w:r>
      <w:r>
        <w:br/>
      </w:r>
      <w:r>
        <w:rPr>
          <w:rStyle w:val="VerbatimChar"/>
          <w:rFonts w:hint="eastAsia"/>
        </w:rPr>
        <w:t xml:space="preserve">数据安全</w:t>
      </w:r>
      <w:r>
        <w:rPr>
          <w:rStyle w:val="VerbatimChar"/>
        </w:rPr>
        <w:t xml:space="preserve">    ████████████████░░  RunPod &gt; Vast.ai &gt; </w:t>
      </w:r>
      <w:r>
        <w:rPr>
          <w:rStyle w:val="VerbatimChar"/>
          <w:rFonts w:hint="eastAsia"/>
        </w:rPr>
        <w:t xml:space="preserve">区块链类</w:t>
      </w:r>
      <w:r>
        <w:br/>
      </w:r>
      <w:r>
        <w:rPr>
          <w:rStyle w:val="VerbatimChar"/>
          <w:rFonts w:hint="eastAsia"/>
        </w:rPr>
        <w:t xml:space="preserve">合规度</w:t>
      </w:r>
      <w:r>
        <w:rPr>
          <w:rStyle w:val="VerbatimChar"/>
        </w:rPr>
        <w:t xml:space="preserve">      ██████████████████  </w:t>
      </w:r>
      <w:r>
        <w:rPr>
          <w:rStyle w:val="VerbatimChar"/>
          <w:rFonts w:hint="eastAsia"/>
        </w:rPr>
        <w:t xml:space="preserve">传统云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P2P平台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区块链类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个人出租收益模型深度分析"/>
    <w:p>
      <w:pPr>
        <w:pStyle w:val="Heading2"/>
      </w:pPr>
      <w:r>
        <w:t xml:space="preserve">7. </w:t>
      </w:r>
      <w:r>
        <w:rPr>
          <w:rFonts w:hint="eastAsia"/>
        </w:rPr>
        <w:t xml:space="preserve">个人出租收益模型深度分析</w:t>
      </w:r>
    </w:p>
    <w:bookmarkStart w:id="42" w:name="主流gpu出租收益测算"/>
    <w:p>
      <w:pPr>
        <w:pStyle w:val="Heading3"/>
      </w:pPr>
      <w:r>
        <w:t xml:space="preserve">7.1 </w:t>
      </w:r>
      <w:r>
        <w:rPr>
          <w:rFonts w:hint="eastAsia"/>
        </w:rPr>
        <w:t xml:space="preserve">主流GPU出租收益测算</w:t>
      </w:r>
    </w:p>
    <w:p>
      <w:pPr>
        <w:pStyle w:val="FirstParagraph"/>
      </w:pPr>
      <w:r>
        <w:rPr>
          <w:rFonts w:hint="eastAsia"/>
        </w:rPr>
        <w:t xml:space="preserve">以下测算基于2026年6月Vast.ai和RunPod平台实际价格数据，假设平均出租率60%（月出租约430小时）：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734"/>
        <w:gridCol w:w="898"/>
        <w:gridCol w:w="898"/>
        <w:gridCol w:w="1306"/>
        <w:gridCol w:w="979"/>
        <w:gridCol w:w="898"/>
        <w:gridCol w:w="734"/>
        <w:gridCol w:w="734"/>
        <w:gridCol w:w="73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GPU型号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平均时租价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月理论收入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月实际收入(60%)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平台费(15%)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月电力成本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月净收益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硬件价格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回本周期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RTX 4090 24GB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$0.35-0.55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$252-396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$151-238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-$23-36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-$20-35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$108-167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$1,600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10-15月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RTX 3090 24GB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$0.20-0.35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$144-252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$86-151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-$13-23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-$18-30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$55-98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$800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8-15月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RTX 4080 16GB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$0.25-0.40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$180-288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$108-173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-$16-26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-$15-25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$77-122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8-13月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RTX 4070 Ti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$0.18-0.30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$130-216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$78-130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-$12-20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-$12-18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$54-92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$750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8-14月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A100 80GB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$0.80-1.50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$576-1,080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$346-648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-$52-97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-$30-50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$264-501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20-38月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RTX 6000 Ada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$0.60-1.00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$432-720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$259-432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-$39-65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-$20-30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$200-337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$6,800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20-34月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GTX 1660 Ti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$0.05-0.10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$36-72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$22-43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-$3-6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-$8-12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$11-25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8-18月</w:t>
            </w:r>
          </w:p>
        </w:tc>
      </w:tr>
    </w:tbl>
    <w:bookmarkEnd w:id="42"/>
    <w:bookmarkStart w:id="46" w:name="影响收益的关键变量"/>
    <w:p>
      <w:pPr>
        <w:pStyle w:val="Heading3"/>
      </w:pPr>
      <w:r>
        <w:t xml:space="preserve">7.2 </w:t>
      </w:r>
      <w:r>
        <w:rPr>
          <w:rFonts w:hint="eastAsia"/>
        </w:rPr>
        <w:t xml:space="preserve">影响收益的关键变量</w:t>
      </w:r>
    </w:p>
    <w:bookmarkStart w:id="43" w:name="出租率最关键变量"/>
    <w:p>
      <w:pPr>
        <w:pStyle w:val="Heading4"/>
      </w:pPr>
      <w:r>
        <w:t xml:space="preserve">7.2.1 </w:t>
      </w:r>
      <w:r>
        <w:rPr>
          <w:rFonts w:hint="eastAsia"/>
        </w:rPr>
        <w:t xml:space="preserve">出租率（最关键变量）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出租率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驱动因素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80-95%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低价策略（Bottom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20%价格区间）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低端GPU、高竞争区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60-80%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定价略低于市场中位价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主流GPU、热点区域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40-60%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定价适中、新Host信誉低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新注册Host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&lt;30%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定价过高、配置冷门、频繁下线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定价策略失误</w:t>
            </w:r>
          </w:p>
        </w:tc>
      </w:tr>
    </w:tbl>
    <w:bookmarkEnd w:id="43"/>
    <w:bookmarkStart w:id="44" w:name="电力成本地域差异显著"/>
    <w:p>
      <w:pPr>
        <w:pStyle w:val="Heading4"/>
      </w:pPr>
      <w:r>
        <w:t xml:space="preserve">7.2.2 </w:t>
      </w:r>
      <w:r>
        <w:rPr>
          <w:rFonts w:hint="eastAsia"/>
        </w:rPr>
        <w:t xml:space="preserve">电力成本（地域差异显著）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地区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居民电价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月电力成本(RTX</w:t>
            </w: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 4090)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对净收益影响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北美（平均）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$0.12/kWh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≈$22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欧洲（德国）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$0.35/kWh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≈$63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严重侵蚀利润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中国（居民）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¥0.5-0.6/kWh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≈¥90-110 ($12-15)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成本优势明显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中国（商业）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¥1.0-1.2/kWh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≈¥180-220 ($25-30)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与北美持平</w:t>
            </w:r>
          </w:p>
        </w:tc>
      </w:tr>
    </w:tbl>
    <w:bookmarkEnd w:id="44"/>
    <w:bookmarkStart w:id="45" w:name="影响出租率的核心因素"/>
    <w:p>
      <w:pPr>
        <w:pStyle w:val="Heading4"/>
      </w:pPr>
      <w:r>
        <w:t xml:space="preserve">7.2.3 </w:t>
      </w:r>
      <w:r>
        <w:rPr>
          <w:rFonts w:hint="eastAsia"/>
        </w:rPr>
        <w:t xml:space="preserve">影响出租率的核心因素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定价策略：</w:t>
      </w:r>
      <w:r>
        <w:t xml:space="preserve"> </w:t>
      </w:r>
      <w:r>
        <w:rPr>
          <w:rFonts w:hint="eastAsia"/>
        </w:rPr>
        <w:t xml:space="preserve">低于市场中位价10-20%可显著提升出租率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信誉积累：</w:t>
      </w:r>
      <w:r>
        <w:t xml:space="preserve"> </w:t>
      </w:r>
      <w:r>
        <w:rPr>
          <w:rFonts w:hint="eastAsia"/>
        </w:rPr>
        <w:t xml:space="preserve">累计出租时长、用户评价、在线稳定性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地理位置：</w:t>
      </w:r>
      <w:r>
        <w:t xml:space="preserve"> </w:t>
      </w:r>
      <w:r>
        <w:rPr>
          <w:rFonts w:hint="eastAsia"/>
        </w:rPr>
        <w:t xml:space="preserve">北美&gt;欧洲&gt;亚太（需求分布不均）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网络质量：</w:t>
      </w:r>
      <w:r>
        <w:t xml:space="preserve"> </w:t>
      </w:r>
      <w:r>
        <w:rPr>
          <w:rFonts w:hint="eastAsia"/>
        </w:rPr>
        <w:t xml:space="preserve">上行带宽&gt;100Mbps，延迟&lt;50ms为佳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硬件可靠性：</w:t>
      </w:r>
      <w:r>
        <w:t xml:space="preserve"> </w:t>
      </w:r>
      <w:r>
        <w:rPr>
          <w:rFonts w:hint="eastAsia"/>
        </w:rPr>
        <w:t xml:space="preserve">频繁掉线会被平台降权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GPU型号热度：</w:t>
      </w:r>
      <w:r>
        <w:t xml:space="preserve"> </w:t>
      </w:r>
      <w:r>
        <w:t xml:space="preserve">RTX </w:t>
      </w:r>
      <w:r>
        <w:rPr>
          <w:rFonts w:hint="eastAsia"/>
        </w:rPr>
        <w:t xml:space="preserve">4090/A100/H100常年供不应求</w:t>
      </w:r>
    </w:p>
    <w:bookmarkEnd w:id="45"/>
    <w:bookmarkEnd w:id="46"/>
    <w:bookmarkStart w:id="47" w:name="多卡规模效应"/>
    <w:p>
      <w:pPr>
        <w:pStyle w:val="Heading3"/>
      </w:pPr>
      <w:r>
        <w:t xml:space="preserve">7.3 </w:t>
      </w:r>
      <w:r>
        <w:rPr>
          <w:rFonts w:hint="eastAsia"/>
        </w:rPr>
        <w:t xml:space="preserve">多卡规模效应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05"/>
        <w:gridCol w:w="1473"/>
        <w:gridCol w:w="2026"/>
        <w:gridCol w:w="1657"/>
        <w:gridCol w:w="1657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规模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GPU数量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月均净收益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边际成本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关键挑战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1-2张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$100-350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低（利用现有PC）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家庭网络/电力限制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3-6张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$400-1,200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中（需专用机架）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散热、噪音、电力扩容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小型矿场转型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10-50张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$1,500-8,000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中（场地+运维）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商业电价、网络带宽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专业算力商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50-200张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$8,000-30,000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高（运维团队）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资本投入、合规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8" w:name="政策与法规环境"/>
    <w:p>
      <w:pPr>
        <w:pStyle w:val="Heading2"/>
      </w:pPr>
      <w:r>
        <w:t xml:space="preserve">8. </w:t>
      </w:r>
      <w:r>
        <w:rPr>
          <w:rFonts w:hint="eastAsia"/>
        </w:rPr>
        <w:t xml:space="preserve">政策与法规环境</w:t>
      </w:r>
    </w:p>
    <w:bookmarkStart w:id="52" w:name="全球监管态势"/>
    <w:p>
      <w:pPr>
        <w:pStyle w:val="Heading3"/>
      </w:pPr>
      <w:r>
        <w:t xml:space="preserve">8.1 </w:t>
      </w:r>
      <w:r>
        <w:rPr>
          <w:rFonts w:hint="eastAsia"/>
        </w:rPr>
        <w:t xml:space="preserve">全球监管态势</w:t>
      </w:r>
    </w:p>
    <w:bookmarkStart w:id="49" w:name="美国"/>
    <w:p>
      <w:pPr>
        <w:pStyle w:val="Heading4"/>
      </w:pPr>
      <w:r>
        <w:t xml:space="preserve">8.1.1 </w:t>
      </w:r>
      <w:r>
        <w:rPr>
          <w:rFonts w:hint="eastAsia"/>
        </w:rPr>
        <w:t xml:space="preserve">美国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AI芯片出口管制：</w:t>
      </w:r>
      <w:r>
        <w:t xml:space="preserve"> </w:t>
      </w:r>
      <w:r>
        <w:rPr>
          <w:rFonts w:hint="eastAsia"/>
        </w:rPr>
        <w:t xml:space="preserve">2022年10月、2023年10月、2025年1月连续升级对华芯片出口限制，H100/B200/A100等高端GPU对华出口需BIS许可证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算力即服务监管：</w:t>
      </w:r>
      <w:r>
        <w:t xml:space="preserve"> </w:t>
      </w:r>
      <w:r>
        <w:rPr>
          <w:rFonts w:hint="eastAsia"/>
        </w:rPr>
        <w:t xml:space="preserve">2024年起要求IaaS提供商实施”Know</w:t>
      </w:r>
      <w:r>
        <w:t xml:space="preserve"> Your </w:t>
      </w:r>
      <w:r>
        <w:rPr>
          <w:rFonts w:hint="eastAsia"/>
        </w:rPr>
        <w:t xml:space="preserve">Customer”(KYC)政策，防止受制裁实体获取AI算力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税务合规：</w:t>
      </w:r>
      <w:r>
        <w:t xml:space="preserve"> </w:t>
      </w:r>
      <w:r>
        <w:rPr>
          <w:rFonts w:hint="eastAsia"/>
        </w:rPr>
        <w:t xml:space="preserve">Host收入需自行申报，平台逐步提供1099税表（年收入&gt;$600）</w:t>
      </w:r>
    </w:p>
    <w:bookmarkEnd w:id="49"/>
    <w:bookmarkStart w:id="50" w:name="欧盟"/>
    <w:p>
      <w:pPr>
        <w:pStyle w:val="Heading4"/>
      </w:pPr>
      <w:r>
        <w:t xml:space="preserve">8.1.2 </w:t>
      </w:r>
      <w:r>
        <w:rPr>
          <w:rFonts w:hint="eastAsia"/>
        </w:rPr>
        <w:t xml:space="preserve">欧盟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Act </w:t>
      </w:r>
      <w:r>
        <w:rPr>
          <w:rFonts w:hint="eastAsia"/>
          <w:b/>
          <w:bCs/>
        </w:rPr>
        <w:t xml:space="preserve">(2024年)：</w:t>
      </w:r>
      <w:r>
        <w:t xml:space="preserve"> </w:t>
      </w:r>
      <w:r>
        <w:rPr>
          <w:rFonts w:hint="eastAsia"/>
        </w:rPr>
        <w:t xml:space="preserve">对通用AI(GPAI)模型提供者的算力使用有透明度要求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GDPR延伸：</w:t>
      </w:r>
      <w:r>
        <w:t xml:space="preserve"> </w:t>
      </w:r>
      <w:r>
        <w:rPr>
          <w:rFonts w:hint="eastAsia"/>
        </w:rPr>
        <w:t xml:space="preserve">在第三方GPU上处理个人数据需满足数据保护要求，数据跨境传输受限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能源效率指令：</w:t>
      </w:r>
      <w:r>
        <w:t xml:space="preserve"> </w:t>
      </w:r>
      <w:r>
        <w:rPr>
          <w:rFonts w:hint="eastAsia"/>
        </w:rPr>
        <w:t xml:space="preserve">数据中心能效要求可能间接影响大规模算力出租</w:t>
      </w:r>
    </w:p>
    <w:bookmarkEnd w:id="50"/>
    <w:bookmarkStart w:id="51" w:name="新加坡东南亚"/>
    <w:p>
      <w:pPr>
        <w:pStyle w:val="Heading4"/>
      </w:pPr>
      <w:r>
        <w:t xml:space="preserve">8.1.3 </w:t>
      </w:r>
      <w:r>
        <w:rPr>
          <w:rFonts w:hint="eastAsia"/>
        </w:rPr>
        <w:t xml:space="preserve">新加坡/东南亚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相对开放的监管环境，多个平台选择新加坡作为亚太枢纽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加密货币友好的政策使其成为Web3算力平台的重要节点</w:t>
      </w:r>
    </w:p>
    <w:bookmarkEnd w:id="51"/>
    <w:bookmarkEnd w:id="52"/>
    <w:bookmarkStart w:id="56" w:name="中国政策环境重点分析"/>
    <w:p>
      <w:pPr>
        <w:pStyle w:val="Heading3"/>
      </w:pPr>
      <w:r>
        <w:t xml:space="preserve">8.2 </w:t>
      </w:r>
      <w:r>
        <w:rPr>
          <w:rFonts w:hint="eastAsia"/>
        </w:rPr>
        <w:t xml:space="preserve">中国政策环境（重点分析）</w:t>
      </w:r>
    </w:p>
    <w:bookmarkStart w:id="53" w:name="算力基础设施政策"/>
    <w:p>
      <w:pPr>
        <w:pStyle w:val="Heading4"/>
      </w:pPr>
      <w:r>
        <w:t xml:space="preserve">8.2.1 </w:t>
      </w:r>
      <w:r>
        <w:rPr>
          <w:rFonts w:hint="eastAsia"/>
        </w:rPr>
        <w:t xml:space="preserve">算力基础设施政策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815"/>
        <w:gridCol w:w="1485"/>
        <w:gridCol w:w="1485"/>
        <w:gridCol w:w="3135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政策/文件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发布时间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核心内容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对个人算力出租的影响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“东数西算”</w:t>
            </w: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2022年2月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8大枢纽+10大数据中心集群，总投资&gt;¥4,000亿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推动算力网络化，长期利好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《算力基础设施高质量发展行动计划》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2023年10月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2025年算力规模&gt;300</w:t>
            </w:r>
            <w:r>
              <w:rPr>
                <w:rFonts w:ascii="仿宋" w:hAnsi="仿宋" w:eastAsia="仿宋"/>
                <w:color w:val="000000"/>
                <w:sz w:val="21"/>
              </w:rPr>
              <w:t xml:space="preserve"> EFLOPS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算力纳入基础设施，规范化发展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《关于深入实施”东数西算”工程加快构建全国一体化算力网的实施意见》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2023年12月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算力调度平台、算力交易机制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首次提及”算力交易”，为个人节点参与打开窗口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《数据出境安全评估办法》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2022年9月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数据出境需安全评估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限制跨境算力共享中的数据流动</w:t>
            </w:r>
          </w:p>
        </w:tc>
      </w:tr>
    </w:tbl>
    <w:bookmarkEnd w:id="53"/>
    <w:bookmarkStart w:id="54" w:name="加密货币相关限制"/>
    <w:p>
      <w:pPr>
        <w:pStyle w:val="Heading4"/>
      </w:pPr>
      <w:r>
        <w:t xml:space="preserve">8.2.2 </w:t>
      </w:r>
      <w:r>
        <w:rPr>
          <w:rFonts w:hint="eastAsia"/>
        </w:rPr>
        <w:t xml:space="preserve">加密货币相关限制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2021年9月：</w:t>
      </w:r>
      <w:r>
        <w:t xml:space="preserve"> </w:t>
      </w:r>
      <w:r>
        <w:rPr>
          <w:rFonts w:hint="eastAsia"/>
        </w:rPr>
        <w:t xml:space="preserve">十部委联合发文，虚拟货币”挖矿”列为淘汰类产业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影响：</w:t>
      </w:r>
      <w:r>
        <w:t xml:space="preserve"> </w:t>
      </w:r>
      <w:r>
        <w:rPr>
          <w:rFonts w:hint="eastAsia"/>
        </w:rPr>
        <w:t xml:space="preserve">基于代币激励的区块链算力平台（Akash、Render</w:t>
      </w:r>
      <w:r>
        <w:t xml:space="preserve"> </w:t>
      </w:r>
      <w:r>
        <w:rPr>
          <w:rFonts w:hint="eastAsia"/>
        </w:rPr>
        <w:t xml:space="preserve">Network）在中国面临本质合规障碍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区别：</w:t>
      </w:r>
      <w:r>
        <w:t xml:space="preserve"> </w:t>
      </w:r>
      <w:r>
        <w:rPr>
          <w:rFonts w:hint="eastAsia"/>
        </w:rPr>
        <w:t xml:space="preserve">以法币结算的P2P算力出租不属于”挖矿”，但灰色地带仍然存在</w:t>
      </w:r>
    </w:p>
    <w:bookmarkEnd w:id="54"/>
    <w:bookmarkStart w:id="55" w:name="合规路径分析"/>
    <w:p>
      <w:pPr>
        <w:pStyle w:val="Heading4"/>
      </w:pPr>
      <w:r>
        <w:t xml:space="preserve">8.2.3 </w:t>
      </w:r>
      <w:r>
        <w:rPr>
          <w:rFonts w:hint="eastAsia"/>
        </w:rPr>
        <w:t xml:space="preserve">合规路径分析</w:t>
      </w:r>
    </w:p>
    <w:p>
      <w:pPr>
        <w:pStyle w:val="SourceCode"/>
      </w:pPr>
      <w:r>
        <w:rPr>
          <w:rStyle w:val="VerbatimChar"/>
          <w:rFonts w:hint="eastAsia"/>
        </w:rPr>
        <w:t xml:space="preserve">中国个人参与算力出租的可能路径：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相对合规路径：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通过国内合规平台（如矩池云、AutoDL等）出租——但目前对个人开放有限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出租给国内企业/机构——数据不出境，合规风险较低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作为"东数西算"节点——长期方向，需对接算力调度平台</w:t>
      </w:r>
      <w:r>
        <w:br/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 xml:space="preserve">灰色地带：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在Vast.ai等海外平台出租给境外用户——可能涉及数据跨境问题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家用宽带商业使用——违反运营商ToS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未办理ICP/增值电信许可证——个人出租算力是否属于电信业务存争议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高风险行为：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参与加密货币结算的算力平台——触犯虚拟货币禁令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明知租用方用于违法用途（如生成深度伪造）而不阻止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大规模商用但未进行税务登记和申报</w:t>
      </w:r>
    </w:p>
    <w:bookmarkEnd w:id="55"/>
    <w:bookmarkEnd w:id="56"/>
    <w:bookmarkStart w:id="57" w:name="知识产权与法律责任"/>
    <w:p>
      <w:pPr>
        <w:pStyle w:val="Heading3"/>
      </w:pPr>
      <w:r>
        <w:t xml:space="preserve">8.3 </w:t>
      </w:r>
      <w:r>
        <w:rPr>
          <w:rFonts w:hint="eastAsia"/>
        </w:rPr>
        <w:t xml:space="preserve">知识产权与法律责任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模型权重泄露风险：</w:t>
      </w:r>
      <w:r>
        <w:t xml:space="preserve"> </w:t>
      </w:r>
      <w:r>
        <w:rPr>
          <w:rFonts w:hint="eastAsia"/>
        </w:rPr>
        <w:t xml:space="preserve">Host有权访问运行的容器，技术上可提取租用方的模型权重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生成内容合法性：</w:t>
      </w:r>
      <w:r>
        <w:t xml:space="preserve"> </w:t>
      </w:r>
      <w:r>
        <w:rPr>
          <w:rFonts w:hint="eastAsia"/>
        </w:rPr>
        <w:t xml:space="preserve">GPU持有者是否对租用方生成的违法内容负责——目前法律空白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AI生成内容版权：</w:t>
      </w:r>
      <w:r>
        <w:t xml:space="preserve"> </w:t>
      </w:r>
      <w:r>
        <w:rPr>
          <w:rFonts w:hint="eastAsia"/>
        </w:rPr>
        <w:t xml:space="preserve">使用他人算力生成的AI内容版权归属尚无定论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技术趋势与创新前沿"/>
    <w:p>
      <w:pPr>
        <w:pStyle w:val="Heading2"/>
      </w:pPr>
      <w:r>
        <w:t xml:space="preserve">9. </w:t>
      </w:r>
      <w:r>
        <w:rPr>
          <w:rFonts w:hint="eastAsia"/>
        </w:rPr>
        <w:t xml:space="preserve">技术趋势与创新前沿</w:t>
      </w:r>
    </w:p>
    <w:bookmarkStart w:id="62" w:name="关键技术演进"/>
    <w:p>
      <w:pPr>
        <w:pStyle w:val="Heading3"/>
      </w:pPr>
      <w:r>
        <w:t xml:space="preserve">9.1 </w:t>
      </w:r>
      <w:r>
        <w:rPr>
          <w:rFonts w:hint="eastAsia"/>
        </w:rPr>
        <w:t xml:space="preserve">关键技术演进</w:t>
      </w:r>
    </w:p>
    <w:bookmarkStart w:id="59" w:name="gpu虚拟化与隔离"/>
    <w:p>
      <w:pPr>
        <w:pStyle w:val="Heading4"/>
      </w:pPr>
      <w:r>
        <w:t xml:space="preserve">9.1.1 </w:t>
      </w:r>
      <w:r>
        <w:rPr>
          <w:rFonts w:hint="eastAsia"/>
        </w:rPr>
        <w:t xml:space="preserve">GPU虚拟化与隔离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376"/>
        <w:gridCol w:w="3168"/>
        <w:gridCol w:w="2376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技术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成熟度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NVIDIA MIG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成熟（A100+/H100）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硬件级GPU分区，单卡可切分为7个独立实例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NVIDIA vGPU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虚拟机GPU共享，授权费用较高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MIG-on-RTX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实验阶段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6000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Ada已支持MIG，消费级卡尚不支持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GPU池化（rCUDA等）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跨网络GPU调用，延迟是瓶颈</w:t>
            </w:r>
          </w:p>
        </w:tc>
      </w:tr>
    </w:tbl>
    <w:bookmarkEnd w:id="59"/>
    <w:bookmarkStart w:id="60" w:name="可信执行环境tee"/>
    <w:p>
      <w:pPr>
        <w:pStyle w:val="Heading4"/>
      </w:pPr>
      <w:r>
        <w:t xml:space="preserve">9.1.2 </w:t>
      </w:r>
      <w:r>
        <w:rPr>
          <w:rFonts w:hint="eastAsia"/>
        </w:rPr>
        <w:t xml:space="preserve">可信执行环境（TEE）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NVIDIA Confidential Computing</w:t>
      </w:r>
      <w:r>
        <w:rPr>
          <w:rFonts w:hint="eastAsia"/>
        </w:rPr>
        <w:t xml:space="preserve">（H100+支持）：硬件级加密，Host无法读取租用方数据——可能彻底改变P2P算力的安全范式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AMD SEV-SNP</w:t>
      </w:r>
      <w:r>
        <w:rPr>
          <w:rFonts w:hint="eastAsia"/>
        </w:rPr>
        <w:t xml:space="preserve">：AMD</w:t>
      </w:r>
      <w:r>
        <w:t xml:space="preserve"> </w:t>
      </w:r>
      <w:r>
        <w:rPr>
          <w:rFonts w:hint="eastAsia"/>
        </w:rPr>
        <w:t xml:space="preserve">GPU路线图上的机密计算方案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Intel TDX</w:t>
      </w:r>
      <w:r>
        <w:rPr>
          <w:rFonts w:hint="eastAsia"/>
        </w:rPr>
        <w:t xml:space="preserve">：面向数据中心场景</w:t>
      </w:r>
    </w:p>
    <w:p>
      <w:pPr>
        <w:pStyle w:val="FirstParagraph"/>
      </w:pPr>
      <w:r>
        <w:rPr>
          <w:rFonts w:hint="eastAsia"/>
          <w:b/>
          <w:bCs/>
        </w:rPr>
        <w:t xml:space="preserve">关键判断：</w:t>
      </w:r>
      <w:r>
        <w:t xml:space="preserve"> </w:t>
      </w:r>
      <w:r>
        <w:rPr>
          <w:rFonts w:hint="eastAsia"/>
        </w:rPr>
        <w:t xml:space="preserve">TEE的普及将是个人算力出租从”低端外溢需求”走向”企业级可用”的分水岭。</w:t>
      </w:r>
    </w:p>
    <w:bookmarkEnd w:id="60"/>
    <w:bookmarkStart w:id="61" w:name="分布式训练优化"/>
    <w:p>
      <w:pPr>
        <w:pStyle w:val="Heading4"/>
      </w:pPr>
      <w:r>
        <w:t xml:space="preserve">9.1.3 </w:t>
      </w:r>
      <w:r>
        <w:rPr>
          <w:rFonts w:hint="eastAsia"/>
        </w:rPr>
        <w:t xml:space="preserve">分布式训练优化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Petals、FlexGen等分布式推理/训练框架</w:t>
      </w:r>
      <w:r>
        <w:rPr>
          <w:rFonts w:hint="eastAsia"/>
        </w:rPr>
        <w:t xml:space="preserve">：允许在异构、非稳定网络上进行大模型协作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DiLoCo（Google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DeepMind）</w:t>
      </w:r>
      <w:r>
        <w:rPr>
          <w:rFonts w:hint="eastAsia"/>
        </w:rPr>
        <w:t xml:space="preserve">：分布式低通信优化，降低对网络互联的要求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rPr>
          <w:rFonts w:hint="eastAsia"/>
        </w:rPr>
        <w:t xml:space="preserve">算法优化正在降低分布式训练的通信带宽需求，使P2P网络上的协作训练更加可行</w:t>
      </w:r>
    </w:p>
    <w:bookmarkEnd w:id="61"/>
    <w:bookmarkEnd w:id="62"/>
    <w:bookmarkStart w:id="66" w:name="新兴商业模式"/>
    <w:p>
      <w:pPr>
        <w:pStyle w:val="Heading3"/>
      </w:pPr>
      <w:r>
        <w:t xml:space="preserve">9.2 </w:t>
      </w:r>
      <w:r>
        <w:rPr>
          <w:rFonts w:hint="eastAsia"/>
        </w:rPr>
        <w:t xml:space="preserve">新兴商业模式</w:t>
      </w:r>
    </w:p>
    <w:bookmarkStart w:id="63" w:name="算力金融化"/>
    <w:p>
      <w:pPr>
        <w:pStyle w:val="Heading4"/>
      </w:pPr>
      <w:r>
        <w:t xml:space="preserve">9.2.1 </w:t>
      </w:r>
      <w:r>
        <w:rPr>
          <w:rFonts w:hint="eastAsia"/>
        </w:rPr>
        <w:t xml:space="preserve">算力金融化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算力期货/期权：</w:t>
      </w:r>
      <w:r>
        <w:t xml:space="preserve"> </w:t>
      </w:r>
      <w:r>
        <w:rPr>
          <w:rFonts w:hint="eastAsia"/>
        </w:rPr>
        <w:t xml:space="preserve">提前锁定未来算力价格和可用性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GPU算力NFT：</w:t>
      </w:r>
      <w:r>
        <w:t xml:space="preserve"> </w:t>
      </w:r>
      <w:r>
        <w:rPr>
          <w:rFonts w:hint="eastAsia"/>
        </w:rPr>
        <w:t xml:space="preserve">代币化算力权益（如Render</w:t>
      </w:r>
      <w:r>
        <w:t xml:space="preserve"> </w:t>
      </w:r>
      <w:r>
        <w:rPr>
          <w:rFonts w:hint="eastAsia"/>
        </w:rPr>
        <w:t xml:space="preserve">Network的RNDR）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算力Staking/借贷：</w:t>
      </w:r>
      <w:r>
        <w:t xml:space="preserve"> </w:t>
      </w:r>
      <w:r>
        <w:rPr>
          <w:rFonts w:hint="eastAsia"/>
        </w:rPr>
        <w:t xml:space="preserve">类似DeFi的算力金融产品</w:t>
      </w:r>
    </w:p>
    <w:bookmarkEnd w:id="63"/>
    <w:bookmarkStart w:id="64" w:name="ai-fiai-defi融合"/>
    <w:p>
      <w:pPr>
        <w:pStyle w:val="Heading4"/>
      </w:pPr>
      <w:r>
        <w:t xml:space="preserve">9.2.2 </w:t>
      </w:r>
      <w:r>
        <w:rPr>
          <w:rFonts w:hint="eastAsia"/>
        </w:rPr>
        <w:t xml:space="preserve">AI-Fi（AI</w:t>
      </w:r>
      <w:r>
        <w:t xml:space="preserve"> + </w:t>
      </w:r>
      <w:r>
        <w:rPr>
          <w:rFonts w:hint="eastAsia"/>
        </w:rPr>
        <w:t xml:space="preserve">DeFi融合）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去中心化AI模型训练市场：贡献算力训练公共模型，按贡献分配代币奖励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模型推理收益共享：运行AI推理节点获得模型使用费分成</w:t>
      </w:r>
    </w:p>
    <w:bookmarkEnd w:id="64"/>
    <w:bookmarkStart w:id="65" w:name="边缘-云协同"/>
    <w:p>
      <w:pPr>
        <w:pStyle w:val="Heading4"/>
      </w:pPr>
      <w:r>
        <w:t xml:space="preserve">9.2.3 </w:t>
      </w:r>
      <w:r>
        <w:rPr>
          <w:rFonts w:hint="eastAsia"/>
        </w:rPr>
        <w:t xml:space="preserve">边缘-云协同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个人节点处理低延迟推理（游戏AI、AR/VR），云端处理大模型训练</w:t>
      </w:r>
    </w:p>
    <w:p>
      <w:pPr>
        <w:pStyle w:val="Compact"/>
        <w:numPr>
          <w:ilvl w:val="0"/>
          <w:numId w:val="1016"/>
        </w:numPr>
      </w:pPr>
      <w:r>
        <w:t xml:space="preserve">5G </w:t>
      </w:r>
      <w:r>
        <w:rPr>
          <w:rFonts w:hint="eastAsia"/>
        </w:rPr>
        <w:t xml:space="preserve">MEC（移动边缘计算）+</w:t>
      </w:r>
      <w:r>
        <w:t xml:space="preserve"> </w:t>
      </w:r>
      <w:r>
        <w:rPr>
          <w:rFonts w:hint="eastAsia"/>
        </w:rPr>
        <w:t xml:space="preserve">家庭GPU节点的分层调度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战略机遇评估"/>
    <w:p>
      <w:pPr>
        <w:pStyle w:val="Heading2"/>
      </w:pPr>
      <w:r>
        <w:t xml:space="preserve">10. </w:t>
      </w:r>
      <w:r>
        <w:rPr>
          <w:rFonts w:hint="eastAsia"/>
        </w:rPr>
        <w:t xml:space="preserve">战略机遇评估</w:t>
      </w:r>
    </w:p>
    <w:bookmarkStart w:id="68" w:name="机遇矩阵"/>
    <w:p>
      <w:pPr>
        <w:pStyle w:val="Heading3"/>
      </w:pPr>
      <w:r>
        <w:t xml:space="preserve">10.1 </w:t>
      </w:r>
      <w:r>
        <w:rPr>
          <w:rFonts w:hint="eastAsia"/>
        </w:rPr>
        <w:t xml:space="preserve">机遇矩阵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</w:rPr>
        <w:t xml:space="preserve">                    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竞争强度</w:t>
      </w:r>
      <w:r>
        <w:rPr>
          <w:rStyle w:val="VerbatimChar"/>
        </w:rPr>
        <w:t xml:space="preserve">          │   ╔═══════════════╦═══════════════╗</w:t>
      </w:r>
      <w:r>
        <w:br/>
      </w:r>
      <w:r>
        <w:rPr>
          <w:rStyle w:val="VerbatimChar"/>
        </w:rPr>
        <w:t xml:space="preserve">                    │   ║  ② </w:t>
      </w:r>
      <w:r>
        <w:rPr>
          <w:rStyle w:val="VerbatimChar"/>
          <w:rFonts w:hint="eastAsia"/>
        </w:rPr>
        <w:t xml:space="preserve">算力聚合</w:t>
      </w:r>
      <w:r>
        <w:rPr>
          <w:rStyle w:val="VerbatimChar"/>
        </w:rPr>
        <w:t xml:space="preserve">   ║  ① </w:t>
      </w:r>
      <w:r>
        <w:rPr>
          <w:rStyle w:val="VerbatimChar"/>
          <w:rFonts w:hint="eastAsia"/>
        </w:rPr>
        <w:t xml:space="preserve">合规算力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                 │   ║  </w:t>
      </w:r>
      <w:r>
        <w:rPr>
          <w:rStyle w:val="VerbatimChar"/>
          <w:rFonts w:hint="eastAsia"/>
        </w:rPr>
        <w:t xml:space="preserve">运营商</w:t>
      </w:r>
      <w:r>
        <w:rPr>
          <w:rStyle w:val="VerbatimChar"/>
        </w:rPr>
        <w:t xml:space="preserve">      ║  </w:t>
      </w:r>
      <w:r>
        <w:rPr>
          <w:rStyle w:val="VerbatimChar"/>
          <w:rFonts w:hint="eastAsia"/>
        </w:rPr>
        <w:t xml:space="preserve">交易平台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 xml:space="preserve">                    │   ║  </w:t>
      </w:r>
      <w:r>
        <w:rPr>
          <w:rStyle w:val="VerbatimChar"/>
          <w:rFonts w:hint="eastAsia"/>
        </w:rPr>
        <w:t xml:space="preserve">(中短期)</w:t>
      </w:r>
      <w:r>
        <w:rPr>
          <w:rStyle w:val="VerbatimChar"/>
        </w:rPr>
        <w:t xml:space="preserve">    ║  </w:t>
      </w:r>
      <w:r>
        <w:rPr>
          <w:rStyle w:val="VerbatimChar"/>
          <w:rFonts w:hint="eastAsia"/>
        </w:rPr>
        <w:t xml:space="preserve">(中长期)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 xml:space="preserve">                    │   ╠═══════════════╬═══════════════╣</w:t>
      </w:r>
      <w:r>
        <w:br/>
      </w:r>
      <w:r>
        <w:rPr>
          <w:rStyle w:val="VerbatimChar"/>
        </w:rPr>
        <w:t xml:space="preserve">                    │   ║  ③ </w:t>
      </w:r>
      <w:r>
        <w:rPr>
          <w:rStyle w:val="VerbatimChar"/>
          <w:rFonts w:hint="eastAsia"/>
        </w:rPr>
        <w:t xml:space="preserve">纯粹出租</w:t>
      </w:r>
      <w:r>
        <w:rPr>
          <w:rStyle w:val="VerbatimChar"/>
        </w:rPr>
        <w:t xml:space="preserve">  ║  ④ </w:t>
      </w:r>
      <w:r>
        <w:rPr>
          <w:rStyle w:val="VerbatimChar"/>
          <w:rFonts w:hint="eastAsia"/>
        </w:rPr>
        <w:t xml:space="preserve">TEE安全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 xml:space="preserve">                    │   ║  </w:t>
      </w:r>
      <w:r>
        <w:rPr>
          <w:rStyle w:val="VerbatimChar"/>
          <w:rFonts w:hint="eastAsia"/>
        </w:rPr>
        <w:t xml:space="preserve">个人GPU</w:t>
      </w:r>
      <w:r>
        <w:rPr>
          <w:rStyle w:val="VerbatimChar"/>
        </w:rPr>
        <w:t xml:space="preserve">     ║  </w:t>
      </w:r>
      <w:r>
        <w:rPr>
          <w:rStyle w:val="VerbatimChar"/>
          <w:rFonts w:hint="eastAsia"/>
        </w:rPr>
        <w:t xml:space="preserve">算力方案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 xml:space="preserve">                    │   ║  </w:t>
      </w:r>
      <w:r>
        <w:rPr>
          <w:rStyle w:val="VerbatimChar"/>
          <w:rFonts w:hint="eastAsia"/>
        </w:rPr>
        <w:t xml:space="preserve">(低门槛)</w:t>
      </w:r>
      <w:r>
        <w:rPr>
          <w:rStyle w:val="VerbatimChar"/>
        </w:rPr>
        <w:t xml:space="preserve">    ║  </w:t>
      </w:r>
      <w:r>
        <w:rPr>
          <w:rStyle w:val="VerbatimChar"/>
          <w:rFonts w:hint="eastAsia"/>
        </w:rPr>
        <w:t xml:space="preserve">(前沿)</w:t>
      </w:r>
      <w:r>
        <w:rPr>
          <w:rStyle w:val="VerbatimChar"/>
        </w:rPr>
        <w:t xml:space="preserve">       ║</w:t>
      </w:r>
      <w:r>
        <w:br/>
      </w:r>
      <w:r>
        <w:rPr>
          <w:rStyle w:val="VerbatimChar"/>
        </w:rPr>
        <w:t xml:space="preserve">                    │   ╚═══════════════╩═══════════════╝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低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←──────────────────────→ 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市场空间/增长潜力</w:t>
      </w:r>
    </w:p>
    <w:bookmarkEnd w:id="68"/>
    <w:bookmarkStart w:id="73" w:name="四大赛道深度评估"/>
    <w:p>
      <w:pPr>
        <w:pStyle w:val="Heading3"/>
      </w:pPr>
      <w:r>
        <w:t xml:space="preserve">10.2 </w:t>
      </w:r>
      <w:r>
        <w:rPr>
          <w:rFonts w:hint="eastAsia"/>
        </w:rPr>
        <w:t xml:space="preserve">四大赛道深度评估</w:t>
      </w:r>
    </w:p>
    <w:bookmarkStart w:id="69" w:name="赛道①合规化算力交易平台"/>
    <w:p>
      <w:pPr>
        <w:pStyle w:val="Heading4"/>
      </w:pPr>
      <w:r>
        <w:rPr>
          <w:rFonts w:hint="eastAsia"/>
        </w:rPr>
        <w:t xml:space="preserve">赛道①：合规化算力交易平台（★★★★★）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市场空白：</w:t>
      </w:r>
      <w:r>
        <w:t xml:space="preserve"> </w:t>
      </w:r>
      <w:r>
        <w:rPr>
          <w:rFonts w:hint="eastAsia"/>
        </w:rPr>
        <w:t xml:space="preserve">中国尚无合规的C2C算力交易平台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政策窗口：</w:t>
      </w:r>
      <w:r>
        <w:t xml:space="preserve"> </w:t>
      </w:r>
      <w:r>
        <w:rPr>
          <w:rFonts w:hint="eastAsia"/>
        </w:rPr>
        <w:t xml:space="preserve">“东数西算”</w:t>
      </w:r>
      <w:r>
        <w:rPr>
          <w:rFonts w:hint="eastAsia"/>
        </w:rPr>
        <w:t xml:space="preserve">提及”算力交易机制”，政策信号积极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核心壁垒：</w:t>
      </w:r>
      <w:r>
        <w:t xml:space="preserve"> </w:t>
      </w:r>
      <w:r>
        <w:rPr>
          <w:rFonts w:hint="eastAsia"/>
        </w:rPr>
        <w:t xml:space="preserve">牌照（增值电信业务许可证）、数据合规体系、银行级结算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目标用户：</w:t>
      </w:r>
      <w:r>
        <w:t xml:space="preserve"> </w:t>
      </w:r>
      <w:r>
        <w:rPr>
          <w:rFonts w:hint="eastAsia"/>
        </w:rPr>
        <w:t xml:space="preserve">国内AI中小企业和个人开发者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进入建议：</w:t>
      </w:r>
      <w:r>
        <w:t xml:space="preserve"> </w:t>
      </w:r>
      <w:r>
        <w:rPr>
          <w:rFonts w:hint="eastAsia"/>
        </w:rPr>
        <w:t xml:space="preserve">与地方政府合作，在”东数西算”枢纽节点试点</w:t>
      </w:r>
    </w:p>
    <w:bookmarkEnd w:id="69"/>
    <w:bookmarkStart w:id="70" w:name="赛道②算力聚合运营商"/>
    <w:p>
      <w:pPr>
        <w:pStyle w:val="Heading4"/>
      </w:pPr>
      <w:r>
        <w:rPr>
          <w:rFonts w:hint="eastAsia"/>
        </w:rPr>
        <w:t xml:space="preserve">赛道②：算力聚合运营商（★★★★☆）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汇集个人/小型GPU节点，统一标准化后向B端客户销售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解决一致性问题（SLA、安全、运维），抽成高于普通Host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代表：</w:t>
      </w:r>
      <w:r>
        <w:t xml:space="preserve"> </w:t>
      </w:r>
      <w:r>
        <w:rPr>
          <w:rFonts w:hint="eastAsia"/>
        </w:rPr>
        <w:t xml:space="preserve">FluidStack（海外），国内空白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rPr>
          <w:rFonts w:hint="eastAsia"/>
        </w:rPr>
        <w:t xml:space="preserve">运维自动化、GPU测试认证、7×24监控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盈利模型：</w:t>
      </w:r>
      <w:r>
        <w:t xml:space="preserve"> </w:t>
      </w:r>
      <w:r>
        <w:rPr>
          <w:rFonts w:hint="eastAsia"/>
        </w:rPr>
        <w:t xml:space="preserve">从Host端$0.30/hr采购，到Client端$0.60/hr出售，毛利率约40-50%</w:t>
      </w:r>
    </w:p>
    <w:bookmarkEnd w:id="70"/>
    <w:bookmarkStart w:id="71" w:name="赛道③个人gpu出租"/>
    <w:p>
      <w:pPr>
        <w:pStyle w:val="Heading4"/>
      </w:pPr>
      <w:r>
        <w:rPr>
          <w:rFonts w:hint="eastAsia"/>
        </w:rPr>
        <w:t xml:space="preserve">赛道③：个人GPU出租（★★★☆☆）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适合人群：</w:t>
      </w:r>
      <w:r>
        <w:t xml:space="preserve"> </w:t>
      </w:r>
      <w:r>
        <w:rPr>
          <w:rFonts w:hint="eastAsia"/>
        </w:rPr>
        <w:t xml:space="preserve">已持有高端GPU的游戏玩家、内容创作者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核心策略：</w:t>
      </w:r>
      <w:r>
        <w:t xml:space="preserve"> </w:t>
      </w:r>
      <w:r>
        <w:rPr>
          <w:rFonts w:hint="eastAsia"/>
        </w:rPr>
        <w:t xml:space="preserve">平台组合（Vast.ai</w:t>
      </w:r>
      <w:r>
        <w:t xml:space="preserve"> + </w:t>
      </w:r>
      <w:r>
        <w:rPr>
          <w:rFonts w:hint="eastAsia"/>
        </w:rPr>
        <w:t xml:space="preserve">RunPod）+</w:t>
      </w:r>
      <w:r>
        <w:t xml:space="preserve"> </w:t>
      </w:r>
      <w:r>
        <w:rPr>
          <w:rFonts w:hint="eastAsia"/>
        </w:rPr>
        <w:t xml:space="preserve">时段优化</w:t>
      </w:r>
      <w:r>
        <w:t xml:space="preserve"> + </w:t>
      </w:r>
      <w:r>
        <w:rPr>
          <w:rFonts w:hint="eastAsia"/>
        </w:rPr>
        <w:t xml:space="preserve">低价竞争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关键风险：</w:t>
      </w:r>
      <w:r>
        <w:t xml:space="preserve"> </w:t>
      </w:r>
      <w:r>
        <w:rPr>
          <w:rFonts w:hint="eastAsia"/>
        </w:rPr>
        <w:t xml:space="preserve">硬件损耗、电力成本上升、价格竞争加剧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2026年判断：</w:t>
      </w:r>
      <w:r>
        <w:t xml:space="preserve"> </w:t>
      </w:r>
      <w:r>
        <w:rPr>
          <w:rFonts w:hint="eastAsia"/>
        </w:rPr>
        <w:t xml:space="preserve">黄金期已过，边际收益递减，不建议新购卡专门出租</w:t>
      </w:r>
    </w:p>
    <w:bookmarkEnd w:id="71"/>
    <w:bookmarkStart w:id="72" w:name="赛道④tee安全算力方案-前沿"/>
    <w:p>
      <w:pPr>
        <w:pStyle w:val="Heading4"/>
      </w:pPr>
      <w:r>
        <w:rPr>
          <w:rFonts w:hint="eastAsia"/>
        </w:rPr>
        <w:t xml:space="preserve">赛道④：TEE安全算力方案（★★☆☆☆</w:t>
      </w:r>
      <w:r>
        <w:t xml:space="preserve"> </w:t>
      </w:r>
      <w:r>
        <w:rPr>
          <w:rFonts w:hint="eastAsia"/>
        </w:rPr>
        <w:t xml:space="preserve">前沿）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技术前提：</w:t>
      </w:r>
      <w:r>
        <w:t xml:space="preserve"> </w:t>
      </w:r>
      <w:r>
        <w:t xml:space="preserve">NVIDIA Confidential </w:t>
      </w:r>
      <w:r>
        <w:rPr>
          <w:rFonts w:hint="eastAsia"/>
        </w:rPr>
        <w:t xml:space="preserve">Computing下沉到消费级GPU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时间窗口：</w:t>
      </w:r>
      <w:r>
        <w:t xml:space="preserve"> </w:t>
      </w:r>
      <w:r>
        <w:rPr>
          <w:rFonts w:hint="eastAsia"/>
        </w:rPr>
        <w:t xml:space="preserve">预计3-5年后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战略价值：</w:t>
      </w:r>
      <w:r>
        <w:t xml:space="preserve"> </w:t>
      </w:r>
      <w:r>
        <w:rPr>
          <w:rFonts w:hint="eastAsia"/>
        </w:rPr>
        <w:t xml:space="preserve">一旦TEE普及，个人算力可进入金融、医疗等敏感场景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进入策略与行动路线图"/>
    <w:p>
      <w:pPr>
        <w:pStyle w:val="Heading2"/>
      </w:pPr>
      <w:r>
        <w:t xml:space="preserve">11. </w:t>
      </w:r>
      <w:r>
        <w:rPr>
          <w:rFonts w:hint="eastAsia"/>
        </w:rPr>
        <w:t xml:space="preserve">进入策略与行动路线图</w:t>
      </w:r>
    </w:p>
    <w:bookmarkStart w:id="75" w:name="面向个人的行动路线"/>
    <w:p>
      <w:pPr>
        <w:pStyle w:val="Heading3"/>
      </w:pPr>
      <w:r>
        <w:t xml:space="preserve">11.1 </w:t>
      </w:r>
      <w:r>
        <w:rPr>
          <w:rFonts w:hint="eastAsia"/>
        </w:rPr>
        <w:t xml:space="preserve">面向个人的行动路线</w:t>
      </w:r>
    </w:p>
    <w:p>
      <w:pPr>
        <w:pStyle w:val="SourceCode"/>
      </w:pPr>
      <w:r>
        <w:rPr>
          <w:rStyle w:val="VerbatimChar"/>
        </w:rPr>
        <w:t xml:space="preserve">Phase 1: </w:t>
      </w:r>
      <w:r>
        <w:rPr>
          <w:rStyle w:val="VerbatimChar"/>
          <w:rFonts w:hint="eastAsia"/>
        </w:rPr>
        <w:t xml:space="preserve">试水验证（第1-2月）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注册Vast.ai/RunPod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Host账号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完成KYC验证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部署1张现有GPU（不需额外采购）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定价策略：低于市场中位价15%（快速积累信誉）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目标：30天出租率&gt;50%，验证收益可行性</w:t>
      </w:r>
      <w:r>
        <w:br/>
      </w:r>
      <w:r>
        <w:br/>
      </w:r>
      <w:r>
        <w:rPr>
          <w:rStyle w:val="VerbatimChar"/>
        </w:rPr>
        <w:t xml:space="preserve">Phase 2: </w:t>
      </w:r>
      <w:r>
        <w:rPr>
          <w:rStyle w:val="VerbatimChar"/>
          <w:rFonts w:hint="eastAsia"/>
        </w:rPr>
        <w:t xml:space="preserve">优化扩展（第3-6月）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根据数据调整定价和平台组合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优化散热（机架+空调或专用通风）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升级网络（有线连接+备用网络）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如出租率&gt;70%，可考虑加卡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目标：月净收益&gt;$200/卡，出租率&gt;65%</w:t>
      </w:r>
      <w:r>
        <w:br/>
      </w:r>
      <w:r>
        <w:br/>
      </w:r>
      <w:r>
        <w:rPr>
          <w:rStyle w:val="VerbatimChar"/>
        </w:rPr>
        <w:t xml:space="preserve">Phase 3: </w:t>
      </w:r>
      <w:r>
        <w:rPr>
          <w:rStyle w:val="VerbatimChar"/>
          <w:rFonts w:hint="eastAsia"/>
        </w:rPr>
        <w:t xml:space="preserve">规模化（第7-12月）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建立标准化运维流程（监控+报警+自动重启）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探索多平台部署（对冲单一平台风险）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考虑商业电价申请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目标：4-8卡规模，月净收益&gt;$1,000</w:t>
      </w:r>
    </w:p>
    <w:bookmarkEnd w:id="75"/>
    <w:bookmarkStart w:id="76" w:name="面向创业者的平台构建路线"/>
    <w:p>
      <w:pPr>
        <w:pStyle w:val="Heading3"/>
      </w:pPr>
      <w:r>
        <w:t xml:space="preserve">11.2 </w:t>
      </w:r>
      <w:r>
        <w:rPr>
          <w:rFonts w:hint="eastAsia"/>
        </w:rPr>
        <w:t xml:space="preserve">面向创业者的平台构建路线</w:t>
      </w:r>
    </w:p>
    <w:p>
      <w:pPr>
        <w:pStyle w:val="SourceCode"/>
      </w:pPr>
      <w:r>
        <w:rPr>
          <w:rStyle w:val="VerbatimChar"/>
        </w:rPr>
        <w:t xml:space="preserve">Phase 1: </w:t>
      </w:r>
      <w:r>
        <w:rPr>
          <w:rStyle w:val="VerbatimChar"/>
          <w:rFonts w:hint="eastAsia"/>
        </w:rPr>
        <w:t xml:space="preserve">MVP（第1-6月）</w:t>
      </w:r>
      <w:r>
        <w:rPr>
          <w:rStyle w:val="VerbatimChar"/>
        </w:rPr>
        <w:t xml:space="preserve">                    | Phase 2: </w:t>
      </w:r>
      <w:r>
        <w:rPr>
          <w:rStyle w:val="VerbatimChar"/>
          <w:rFonts w:hint="eastAsia"/>
        </w:rPr>
        <w:t xml:space="preserve">合规建设（第7-12月）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技术栈选型（K8s+Docker+计量计费）</w:t>
      </w:r>
      <w:r>
        <w:rPr>
          <w:rStyle w:val="VerbatimChar"/>
        </w:rPr>
        <w:t xml:space="preserve">        | ├── </w:t>
      </w:r>
      <w:r>
        <w:rPr>
          <w:rStyle w:val="VerbatimChar"/>
          <w:rFonts w:hint="eastAsia"/>
        </w:rPr>
        <w:t xml:space="preserve">申请增值电信业务许可证（ICP）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核心功能：GPU注册→测试→上架→匹配→结算</w:t>
      </w:r>
      <w:r>
        <w:rPr>
          <w:rStyle w:val="VerbatimChar"/>
        </w:rPr>
        <w:t xml:space="preserve">   | ├── </w:t>
      </w:r>
      <w:r>
        <w:rPr>
          <w:rStyle w:val="VerbatimChar"/>
          <w:rFonts w:hint="eastAsia"/>
        </w:rPr>
        <w:t xml:space="preserve">数据安全合规体系搭建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10-20个种子Host节点</w:t>
      </w:r>
      <w:r>
        <w:rPr>
          <w:rStyle w:val="VerbatimChar"/>
        </w:rPr>
        <w:t xml:space="preserve">                      | ├── </w:t>
      </w:r>
      <w:r>
        <w:rPr>
          <w:rStyle w:val="VerbatimChar"/>
          <w:rFonts w:hint="eastAsia"/>
        </w:rPr>
        <w:t xml:space="preserve">第三方支付牌照/合作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目标：验证C2C匹配效率和经济模型</w:t>
      </w:r>
      <w:r>
        <w:rPr>
          <w:rStyle w:val="VerbatimChar"/>
        </w:rPr>
        <w:t xml:space="preserve">           | ├── </w:t>
      </w:r>
      <w:r>
        <w:rPr>
          <w:rStyle w:val="VerbatimChar"/>
          <w:rFonts w:hint="eastAsia"/>
        </w:rPr>
        <w:t xml:space="preserve">用户协议与免责条款</w:t>
      </w:r>
      <w:r>
        <w:br/>
      </w:r>
      <w:r>
        <w:rPr>
          <w:rStyle w:val="VerbatimChar"/>
        </w:rPr>
        <w:t xml:space="preserve">                                            | ├── </w:t>
      </w:r>
      <w:r>
        <w:rPr>
          <w:rStyle w:val="VerbatimChar"/>
          <w:rFonts w:hint="eastAsia"/>
        </w:rPr>
        <w:t xml:space="preserve">目标：获得运营许可</w:t>
      </w:r>
      <w:r>
        <w:br/>
      </w:r>
      <w:r>
        <w:rPr>
          <w:rStyle w:val="VerbatimChar"/>
        </w:rPr>
        <w:t xml:space="preserve">Phase 3: </w:t>
      </w:r>
      <w:r>
        <w:rPr>
          <w:rStyle w:val="VerbatimChar"/>
          <w:rFonts w:hint="eastAsia"/>
        </w:rPr>
        <w:t xml:space="preserve">增长（第13-24月）</w:t>
      </w:r>
      <w:r>
        <w:rPr>
          <w:rStyle w:val="VerbatimChar"/>
        </w:rPr>
        <w:t xml:space="preserve">                   | Phase 4: </w:t>
      </w:r>
      <w:r>
        <w:rPr>
          <w:rStyle w:val="VerbatimChar"/>
          <w:rFonts w:hint="eastAsia"/>
        </w:rPr>
        <w:t xml:space="preserve">生态（第25月+）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对接"东数西算"算力调度平台</w:t>
      </w:r>
      <w:r>
        <w:rPr>
          <w:rStyle w:val="VerbatimChar"/>
        </w:rPr>
        <w:t xml:space="preserve">                | ├── </w:t>
      </w:r>
      <w:r>
        <w:rPr>
          <w:rStyle w:val="VerbatimChar"/>
          <w:rFonts w:hint="eastAsia"/>
        </w:rPr>
        <w:t xml:space="preserve">开放API供第三方集成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引入企业级SLA保障（TEE节点）</w:t>
      </w:r>
      <w:r>
        <w:rPr>
          <w:rStyle w:val="VerbatimChar"/>
        </w:rPr>
        <w:t xml:space="preserve">              | ├── </w:t>
      </w:r>
      <w:r>
        <w:rPr>
          <w:rStyle w:val="VerbatimChar"/>
          <w:rFonts w:hint="eastAsia"/>
        </w:rPr>
        <w:t xml:space="preserve">算力金融产品（期货/期权）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Host激励计划（电费补贴、硬件融资）</w:t>
      </w:r>
      <w:r>
        <w:rPr>
          <w:rStyle w:val="VerbatimChar"/>
        </w:rPr>
        <w:t xml:space="preserve">         | ├── </w:t>
      </w:r>
      <w:r>
        <w:rPr>
          <w:rStyle w:val="VerbatimChar"/>
          <w:rFonts w:hint="eastAsia"/>
        </w:rPr>
        <w:t xml:space="preserve">区域算力交易所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目标：1,000+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GPU在线，月GMV&gt;$50万</w:t>
      </w:r>
      <w:r>
        <w:rPr>
          <w:rStyle w:val="VerbatimChar"/>
        </w:rPr>
        <w:t xml:space="preserve">         | ├── </w:t>
      </w:r>
      <w:r>
        <w:rPr>
          <w:rStyle w:val="VerbatimChar"/>
          <w:rFonts w:hint="eastAsia"/>
        </w:rPr>
        <w:t xml:space="preserve">目标：成为中国合规算力交易基础设施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商业模式与财务模型"/>
    <w:p>
      <w:pPr>
        <w:pStyle w:val="Heading2"/>
      </w:pPr>
      <w:r>
        <w:t xml:space="preserve">12. </w:t>
      </w:r>
      <w:r>
        <w:rPr>
          <w:rFonts w:hint="eastAsia"/>
        </w:rPr>
        <w:t xml:space="preserve">商业模式与财务模型</w:t>
      </w:r>
    </w:p>
    <w:bookmarkStart w:id="81" w:name="平台方商业模式"/>
    <w:p>
      <w:pPr>
        <w:pStyle w:val="Heading3"/>
      </w:pPr>
      <w:r>
        <w:t xml:space="preserve">12.1 </w:t>
      </w:r>
      <w:r>
        <w:rPr>
          <w:rFonts w:hint="eastAsia"/>
        </w:rPr>
        <w:t xml:space="preserve">平台方商业模式</w:t>
      </w:r>
    </w:p>
    <w:bookmarkStart w:id="78" w:name="模式a抽佣制vast.ai模式"/>
    <w:p>
      <w:pPr>
        <w:pStyle w:val="Heading4"/>
      </w:pPr>
      <w:r>
        <w:rPr>
          <w:rFonts w:hint="eastAsia"/>
        </w:rPr>
        <w:t xml:space="preserve">模式A：抽佣制（Vast.ai模式）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营收：</w:t>
      </w:r>
      <w:r>
        <w:t xml:space="preserve"> </w:t>
      </w:r>
      <w:r>
        <w:rPr>
          <w:rFonts w:hint="eastAsia"/>
        </w:rPr>
        <w:t xml:space="preserve">交易额×15%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假设：</w:t>
      </w:r>
      <w:r>
        <w:t xml:space="preserve"> </w:t>
      </w:r>
      <w:r>
        <w:rPr>
          <w:rFonts w:hint="eastAsia"/>
        </w:rPr>
        <w:t xml:space="preserve">10,000活跃GPU</w:t>
      </w:r>
      <w:r>
        <w:t xml:space="preserve"> × </w:t>
      </w:r>
      <w:r>
        <w:rPr>
          <w:rFonts w:hint="eastAsia"/>
        </w:rPr>
        <w:t xml:space="preserve">月均$150/卡</w:t>
      </w:r>
      <w:r>
        <w:t xml:space="preserve"> = </w:t>
      </w:r>
      <w:r>
        <w:rPr>
          <w:rFonts w:hint="eastAsia"/>
        </w:rPr>
        <w:t xml:space="preserve">$150万月GMV</w:t>
      </w:r>
      <w:r>
        <w:t xml:space="preserve"> × 15% = </w:t>
      </w:r>
      <w:r>
        <w:rPr>
          <w:rFonts w:hint="eastAsia"/>
        </w:rPr>
        <w:t xml:space="preserve">$22.5万/月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成本：</w:t>
      </w:r>
      <w:r>
        <w:t xml:space="preserve"> </w:t>
      </w:r>
      <w:r>
        <w:rPr>
          <w:rFonts w:hint="eastAsia"/>
        </w:rPr>
        <w:t xml:space="preserve">匹配引擎、支付网关、客服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轻资产、可规模化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单价低、需要海量节点</w:t>
      </w:r>
    </w:p>
    <w:bookmarkEnd w:id="78"/>
    <w:bookmarkStart w:id="79" w:name="模式b加价制fluidstack模式"/>
    <w:p>
      <w:pPr>
        <w:pStyle w:val="Heading4"/>
      </w:pPr>
      <w:r>
        <w:rPr>
          <w:rFonts w:hint="eastAsia"/>
        </w:rPr>
        <w:t xml:space="preserve">模式B：加价制（FluidStack模式）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营收：</w:t>
      </w:r>
      <w:r>
        <w:t xml:space="preserve"> </w:t>
      </w:r>
      <w:r>
        <w:rPr>
          <w:rFonts w:hint="eastAsia"/>
        </w:rPr>
        <w:t xml:space="preserve">买入-卖出价差（约50-100%）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假设：</w:t>
      </w:r>
      <w:r>
        <w:t xml:space="preserve"> </w:t>
      </w:r>
      <w:r>
        <w:t xml:space="preserve">1,000 GPU × </w:t>
      </w:r>
      <w:r>
        <w:rPr>
          <w:rFonts w:hint="eastAsia"/>
        </w:rPr>
        <w:t xml:space="preserve">月均$300采购</w:t>
      </w:r>
      <w:r>
        <w:t xml:space="preserve"> × </w:t>
      </w:r>
      <w:r>
        <w:rPr>
          <w:rFonts w:hint="eastAsia"/>
        </w:rPr>
        <w:t xml:space="preserve">1.7倍出售</w:t>
      </w:r>
      <w:r>
        <w:t xml:space="preserve"> = </w:t>
      </w:r>
      <w:r>
        <w:rPr>
          <w:rFonts w:hint="eastAsia"/>
        </w:rPr>
        <w:t xml:space="preserve">$51万月营收，毛利率≈$21万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成本：</w:t>
      </w:r>
      <w:r>
        <w:t xml:space="preserve"> </w:t>
      </w:r>
      <w:r>
        <w:rPr>
          <w:rFonts w:hint="eastAsia"/>
        </w:rPr>
        <w:t xml:space="preserve">采购成本+运维+SLA保障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单GPU收入高、品牌溢价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重运营、扩展慢</w:t>
      </w:r>
    </w:p>
    <w:bookmarkEnd w:id="79"/>
    <w:bookmarkStart w:id="80" w:name="模式c混合制runpod模式"/>
    <w:p>
      <w:pPr>
        <w:pStyle w:val="Heading4"/>
      </w:pPr>
      <w:r>
        <w:rPr>
          <w:rFonts w:hint="eastAsia"/>
        </w:rPr>
        <w:t xml:space="preserve">模式C：混合制（RunPod模式）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自有节点+Host网络的混合供给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自有节点保证SLA，Host网络补充弹性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通过Serverless产品实现更高附加值</w:t>
      </w:r>
    </w:p>
    <w:bookmarkEnd w:id="80"/>
    <w:bookmarkEnd w:id="81"/>
    <w:bookmarkStart w:id="82" w:name="个人出租者财务模型5张rtx-4090规模"/>
    <w:p>
      <w:pPr>
        <w:pStyle w:val="Heading3"/>
      </w:pPr>
      <w:r>
        <w:t xml:space="preserve">12.2 </w:t>
      </w:r>
      <w:r>
        <w:rPr>
          <w:rFonts w:hint="eastAsia"/>
        </w:rPr>
        <w:t xml:space="preserve">个人出租者财务模型（5张RTX</w:t>
      </w:r>
      <w:r>
        <w:t xml:space="preserve"> </w:t>
      </w:r>
      <w:r>
        <w:rPr>
          <w:rFonts w:hint="eastAsia"/>
        </w:rPr>
        <w:t xml:space="preserve">4090规模）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月度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收入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GPU出租收入（60%利用率×5卡，按第7章单卡基准）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$755-1,190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$9,060-14,280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电力（$0.12/kWh，5卡≈750-1,000kWh/月）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-$90-150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-$1,080-1,800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平台抽佣（15%）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-$113-179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-$1,356-2,148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硬件折旧（5张×$1,600÷36月）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-$222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-$2,664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核心净收益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$330-639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$3,960-7,668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规模化管理附加成本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网络带宽升级（商用宽带/多线接入）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-$30-50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-$360-600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运维监控工具+远程管理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-$20-30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-$240-360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散热/机架折旧（初期投入$500÷24月）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-$21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-$252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综合净收益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$259-538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b/>
                <w:bCs/>
                <w:color w:val="000000"/>
                <w:sz w:val="21"/>
              </w:rPr>
              <w:t xml:space="preserve">$3,108-6,456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核心净收益按第7章单卡基准直接放大（$108-167×5</w:t>
      </w:r>
      <w:r>
        <w:t xml:space="preserve"> = </w:t>
      </w:r>
      <w:r>
        <w:rPr>
          <w:rFonts w:hint="eastAsia"/>
        </w:rPr>
        <w:t xml:space="preserve">$540-835→实测60%利用率后$330-639）。规模化管理附加成本为多卡部署的增量费用，单卡场景不涉及。与单卡相比，5卡规模可通过批量采购硬件（折扣5-10%）、统一运维降低单位管理成本，实际综合净收益可能高于表中保守估算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初始投资：</w:t>
      </w:r>
      <w:r>
        <w:t xml:space="preserve"> </w:t>
      </w:r>
      <w:r>
        <w:t xml:space="preserve">5×$1,600 + </w:t>
      </w:r>
      <w:r>
        <w:rPr>
          <w:rFonts w:hint="eastAsia"/>
        </w:rPr>
        <w:t xml:space="preserve">$500(机架/散热)</w:t>
      </w:r>
      <w:r>
        <w:t xml:space="preserve"> = $8,500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核心回本周期：</w:t>
      </w:r>
      <w:r>
        <w:t xml:space="preserve"> </w:t>
      </w:r>
      <w:r>
        <w:rPr>
          <w:rFonts w:hint="eastAsia"/>
        </w:rPr>
        <w:t xml:space="preserve">约13-26个月（仅计核心成本）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综合回本周期：</w:t>
      </w:r>
      <w:r>
        <w:t xml:space="preserve"> </w:t>
      </w:r>
      <w:r>
        <w:rPr>
          <w:rFonts w:hint="eastAsia"/>
        </w:rPr>
        <w:t xml:space="preserve">约16-33个月（含全部附加成本）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ROI（年化，综合净收益÷总投资）：</w:t>
      </w:r>
      <w:r>
        <w:t xml:space="preserve"> </w:t>
      </w:r>
      <w:r>
        <w:rPr>
          <w:rFonts w:hint="eastAsia"/>
        </w:rPr>
        <w:t xml:space="preserve">约37-76%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风险识别与缓释方案"/>
    <w:p>
      <w:pPr>
        <w:pStyle w:val="Heading2"/>
      </w:pPr>
      <w:r>
        <w:t xml:space="preserve">13. </w:t>
      </w:r>
      <w:r>
        <w:rPr>
          <w:rFonts w:hint="eastAsia"/>
        </w:rPr>
        <w:t xml:space="preserve">风险识别与缓释方案</w:t>
      </w:r>
    </w:p>
    <w:bookmarkStart w:id="84" w:name="风险全景"/>
    <w:p>
      <w:pPr>
        <w:pStyle w:val="Heading3"/>
      </w:pPr>
      <w:r>
        <w:t xml:space="preserve">13.1 </w:t>
      </w:r>
      <w:r>
        <w:rPr>
          <w:rFonts w:hint="eastAsia"/>
        </w:rPr>
        <w:t xml:space="preserve">风险全景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风险类别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风险项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概率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影响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市场风险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GPU价格战导致时租价持续下降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🔴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市场风险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AI算力需求转向ASIC/专用芯片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政策风险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中国加强算力跨境流动管制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🔴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政策风险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平台被要求强制KYC/持牌经营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技术风险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Host节点数据泄露/模型被窃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技术风险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硬件故障导致租用方损失索赔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🟢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运营风险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电力供应不稳/电费涨价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竞争风险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NVIDIA推出消费级GPU租赁限制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1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税务/工商对个人算力出租定性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🟡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中高</w:t>
            </w:r>
          </w:p>
        </w:tc>
      </w:tr>
    </w:tbl>
    <w:bookmarkEnd w:id="84"/>
    <w:bookmarkStart w:id="87" w:name="分级缓释方案"/>
    <w:p>
      <w:pPr>
        <w:pStyle w:val="Heading3"/>
      </w:pPr>
      <w:r>
        <w:t xml:space="preserve">13.2 </w:t>
      </w:r>
      <w:r>
        <w:rPr>
          <w:rFonts w:hint="eastAsia"/>
        </w:rPr>
        <w:t xml:space="preserve">分级缓释方案</w:t>
      </w:r>
    </w:p>
    <w:bookmarkStart w:id="85" w:name="红色风险需立即应对"/>
    <w:p>
      <w:pPr>
        <w:pStyle w:val="Heading4"/>
      </w:pPr>
      <w:r>
        <w:rPr>
          <w:rFonts w:hint="eastAsia"/>
        </w:rPr>
        <w:t xml:space="preserve">红色风险（需立即应对）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168"/>
        <w:gridCol w:w="4752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缓释措施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GPU价格战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①差异化配置（预装模型/环境）②转向企业长期租约③降低持有成本（利用夜间谷电）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中国政策收紧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①优先出租给国内用户②准备国内合规平台备选③避免数据中心级算力跨境</w:t>
            </w:r>
          </w:p>
        </w:tc>
      </w:tr>
    </w:tbl>
    <w:bookmarkEnd w:id="85"/>
    <w:bookmarkStart w:id="86" w:name="黄色风险需监控和预案"/>
    <w:p>
      <w:pPr>
        <w:pStyle w:val="Heading4"/>
      </w:pPr>
      <w:r>
        <w:rPr>
          <w:rFonts w:hint="eastAsia"/>
        </w:rPr>
        <w:t xml:space="preserve">黄色风险（需监控和预案）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168"/>
        <w:gridCol w:w="4752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缓释措施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ASIC替代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①关注NVIDIA路线图②GPU推理仍有生态优势③多元化卡型降低集中度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①物理隔离敏感网络②定期固件更新③购买网络安全保险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①分散多平台②关注平台合规动态③保留交易记录备查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电费上涨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①选址电价优势区域②能效优化（降频降压）③光伏+储能自供电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附录关键数据表与参考文献"/>
    <w:p>
      <w:pPr>
        <w:pStyle w:val="Heading2"/>
      </w:pPr>
      <w:r>
        <w:t xml:space="preserve">14. </w:t>
      </w:r>
      <w:r>
        <w:rPr>
          <w:rFonts w:hint="eastAsia"/>
        </w:rPr>
        <w:t xml:space="preserve">附录：关键数据表与参考文献</w:t>
      </w:r>
    </w:p>
    <w:bookmarkStart w:id="89" w:name="主要平台速查表"/>
    <w:p>
      <w:pPr>
        <w:pStyle w:val="Heading3"/>
      </w:pPr>
      <w:r>
        <w:t xml:space="preserve">14.1 </w:t>
      </w:r>
      <w:r>
        <w:rPr>
          <w:rFonts w:hint="eastAsia"/>
        </w:rPr>
        <w:t xml:space="preserve">主要平台速查表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69"/>
        <w:gridCol w:w="969"/>
        <w:gridCol w:w="1777"/>
        <w:gridCol w:w="1454"/>
        <w:gridCol w:w="969"/>
        <w:gridCol w:w="1777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平台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网址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供给端类型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结算方式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抽佣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中国可用性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Vast.ai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vast.ai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个人/小型DC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法币(信用卡)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≈15%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⚠️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需翻墙+境外支付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RunPod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runpod.io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个人/DC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≈20-25%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⚠️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需翻墙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Akash Network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akash.network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AKT代币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市场化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❌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代币违禁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Render Network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rendernetwork.com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无许可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RNDR代币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市场化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❌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代币违禁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Salad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salad.com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消费级PC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积分/礼品卡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❌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矩池云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matpool.com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平台自持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法币(支付宝)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隐含定价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AutoDL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autodl.com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平台自持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法币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隐含定价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✅ </w:t>
            </w: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合规</w:t>
            </w:r>
          </w:p>
        </w:tc>
      </w:tr>
    </w:tbl>
    <w:bookmarkEnd w:id="89"/>
    <w:bookmarkStart w:id="90" w:name="gpu经济性对比"/>
    <w:p>
      <w:pPr>
        <w:pStyle w:val="Heading3"/>
      </w:pPr>
      <w:r>
        <w:t xml:space="preserve">14.2 </w:t>
      </w:r>
      <w:r>
        <w:rPr>
          <w:rFonts w:hint="eastAsia"/>
        </w:rPr>
        <w:t xml:space="preserve">GPU经济性对比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GPU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 xml:space="preserve">VRAM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购入价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功率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月均收益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月均成本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月净利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回本月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4090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24GB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$1,600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450W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$110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$90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3090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24GB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$800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350W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$110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4080S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16GB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$1,000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320W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$140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$70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RTX 4070S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12GB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$600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220W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$80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$35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A100 80GB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$10,000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400W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$450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$160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$290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H100 80GB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80GB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$25,000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700W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$1,200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$300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$900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28</w:t>
            </w:r>
          </w:p>
        </w:tc>
      </w:tr>
    </w:tbl>
    <w:bookmarkEnd w:id="90"/>
    <w:bookmarkStart w:id="91" w:name="术语表"/>
    <w:p>
      <w:pPr>
        <w:pStyle w:val="Heading3"/>
      </w:pPr>
      <w:r>
        <w:t xml:space="preserve">14.3 </w:t>
      </w:r>
      <w:r>
        <w:rPr>
          <w:rFonts w:hint="eastAsia"/>
        </w:rPr>
        <w:t xml:space="preserve">术语表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640"/>
        <w:gridCol w:w="2640"/>
        <w:gridCol w:w="2640"/>
      </w:tblGrid>
      <w:tr>
        <w:trPr>
          <w:tblHeader/>
        </w:trPr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术语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英文</w:t>
            </w:r>
          </w:p>
        </w:tc>
        <w:tc>
          <w:tcPr>
            <w:shd w:fill="E8E8E8" w:val="clear"/>
          </w:tcPr>
          <w:p>
            <w:pPr>
              <w:pStyle w:val="Compact"/>
            </w:pPr>
            <w:r>
              <w:rPr>
                <w:rFonts w:hint="eastAsia" w:ascii="黑体" w:hAnsi="黑体" w:eastAsia="黑体"/>
                <w:b/>
                <w:color w:val="000000"/>
                <w:sz w:val="21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算力共享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Compute Sharing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将闲置计算资源出租给他人的经济模式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GPU池化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GPU Pooling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将多张物理GPU虚拟化为统一资源池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TEE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Trusted Execution Environment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硬件级可信执行环境，保护数据和代码不被主机访问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MIG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Multi-Instance GPU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NVIDIA的GPU硬件分区技术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算力调度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Compute Orchestration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将计算任务动态分配到最优算力节点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反向拍卖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Reverse Auction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租户出价、多个提供商竞价的价格发现机制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时区套利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Timezone Arbitrage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利用时区差异实现算力的24小时利用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AI-Fi</w:t>
            </w:r>
          </w:p>
        </w:tc>
        <w:tc>
          <w:tcPr/>
          <w:p>
            <w:pPr>
              <w:pStyle w:val="Compact"/>
            </w:pPr>
            <w:r>
              <w:rPr>
                <w:rFonts w:ascii="仿宋" w:hAnsi="仿宋" w:eastAsia="仿宋"/>
                <w:color w:val="000000"/>
                <w:sz w:val="21"/>
              </w:rPr>
              <w:t xml:space="preserve">AI + DeFi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仿宋" w:hAnsi="仿宋" w:eastAsia="仿宋"/>
                <w:color w:val="000000"/>
                <w:sz w:val="21"/>
              </w:rPr>
              <w:t xml:space="preserve">去中心化金融与人工智能的交叉领域</w:t>
            </w:r>
          </w:p>
        </w:tc>
      </w:tr>
    </w:tbl>
    <w:bookmarkEnd w:id="91"/>
    <w:bookmarkStart w:id="92" w:name="参考文献与数据来源"/>
    <w:p>
      <w:pPr>
        <w:pStyle w:val="Heading3"/>
      </w:pPr>
      <w:r>
        <w:t xml:space="preserve">14.4 </w:t>
      </w:r>
      <w:r>
        <w:rPr>
          <w:rFonts w:hint="eastAsia"/>
        </w:rPr>
        <w:t xml:space="preserve">参考文献与数据来源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Grand View Research — GPU Cloud Market Report 2024</w:t>
      </w:r>
      <w:r>
        <w:t xml:space="preserve"> </w:t>
      </w:r>
      <w:r>
        <w:t xml:space="preserve">— </w:t>
      </w:r>
      <w:r>
        <w:rPr>
          <w:rFonts w:hint="eastAsia"/>
        </w:rPr>
        <w:t xml:space="preserve">全球GPU云市场规模和增长预测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Fortune Business Insights — GPU as a Service Market Analysis</w:t>
      </w:r>
      <w:r>
        <w:t xml:space="preserve"> </w:t>
      </w:r>
      <w:r>
        <w:t xml:space="preserve">— </w:t>
      </w:r>
      <w:r>
        <w:rPr>
          <w:rFonts w:hint="eastAsia"/>
        </w:rPr>
        <w:t xml:space="preserve">GPUaaS市场结构分析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Messari — DePIN Sector Report 2024</w:t>
      </w:r>
      <w:r>
        <w:t xml:space="preserve"> </w:t>
      </w:r>
      <w:r>
        <w:t xml:space="preserve">— </w:t>
      </w:r>
      <w:r>
        <w:rPr>
          <w:rFonts w:hint="eastAsia"/>
        </w:rPr>
        <w:t xml:space="preserve">去中心化物理基础设施网络行业报告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Vast.ai Platform Data</w:t>
      </w:r>
      <w:r>
        <w:t xml:space="preserve"> </w:t>
      </w:r>
      <w:r>
        <w:t xml:space="preserve">— </w:t>
      </w:r>
      <w:r>
        <w:rPr>
          <w:rFonts w:hint="eastAsia"/>
        </w:rPr>
        <w:t xml:space="preserve">平台公开的GPU供给和定价数据（通过API获取）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RunPod State of AI Infrastructure Report</w:t>
      </w:r>
      <w:r>
        <w:t xml:space="preserve"> </w:t>
      </w:r>
      <w:r>
        <w:t xml:space="preserve">— </w:t>
      </w:r>
      <w:r>
        <w:rPr>
          <w:rFonts w:hint="eastAsia"/>
        </w:rPr>
        <w:t xml:space="preserve">AI基础设施趋势和部署数据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Akash Network Economics Paper</w:t>
      </w:r>
      <w:r>
        <w:t xml:space="preserve"> </w:t>
      </w:r>
      <w:r>
        <w:t xml:space="preserve">— </w:t>
      </w:r>
      <w:r>
        <w:rPr>
          <w:rFonts w:hint="eastAsia"/>
        </w:rPr>
        <w:t xml:space="preserve">去中心化云计算经济模型白皮书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中国信息通信研究院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《中国算力发展指数白皮书（2024）》</w:t>
      </w:r>
      <w:r>
        <w:t xml:space="preserve"> </w:t>
      </w:r>
      <w:r>
        <w:t xml:space="preserve">— </w:t>
      </w:r>
      <w:r>
        <w:rPr>
          <w:rFonts w:hint="eastAsia"/>
        </w:rPr>
        <w:t xml:space="preserve">中国算力基础设施发展数据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国务院</w:t>
      </w:r>
      <w:r>
        <w:rPr>
          <w:b/>
          <w:bCs/>
        </w:rPr>
        <w:t xml:space="preserve"> — 《</w:t>
      </w:r>
      <w:r>
        <w:rPr>
          <w:rFonts w:hint="eastAsia"/>
          <w:b/>
          <w:bCs/>
        </w:rPr>
        <w:t xml:space="preserve">“东数西算”</w:t>
      </w:r>
      <w:r>
        <w:rPr>
          <w:rFonts w:hint="eastAsia"/>
          <w:b/>
          <w:bCs/>
        </w:rPr>
        <w:t xml:space="preserve">工程实施方案》</w:t>
      </w:r>
      <w:r>
        <w:t xml:space="preserve"> </w:t>
      </w:r>
      <w:r>
        <w:t xml:space="preserve">— </w:t>
      </w:r>
      <w:r>
        <w:rPr>
          <w:rFonts w:hint="eastAsia"/>
        </w:rPr>
        <w:t xml:space="preserve">国家算力网络战略规划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NVIDIA — Confidential Computing Technical Brief</w:t>
      </w:r>
      <w:r>
        <w:t xml:space="preserve"> </w:t>
      </w:r>
      <w:r>
        <w:t xml:space="preserve">— </w:t>
      </w:r>
      <w:r>
        <w:rPr>
          <w:rFonts w:hint="eastAsia"/>
        </w:rPr>
        <w:t xml:space="preserve">GPU可信执行环境技术文档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Tom’s Hardware / Reddit r/gpumining / r/VastAI</w:t>
      </w:r>
      <w:r>
        <w:t xml:space="preserve"> </w:t>
      </w:r>
      <w:r>
        <w:t xml:space="preserve">— </w:t>
      </w:r>
      <w:r>
        <w:rPr>
          <w:rFonts w:hint="eastAsia"/>
        </w:rPr>
        <w:t xml:space="preserve">社区GPU出租收益实测数据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Steam Hardware Survey </w:t>
      </w:r>
      <w:r>
        <w:rPr>
          <w:rFonts w:hint="eastAsia"/>
          <w:b/>
          <w:bCs/>
        </w:rPr>
        <w:t xml:space="preserve">(2026年5月)</w:t>
      </w:r>
      <w:r>
        <w:t xml:space="preserve"> </w:t>
      </w:r>
      <w:r>
        <w:t xml:space="preserve">— </w:t>
      </w:r>
      <w:r>
        <w:rPr>
          <w:rFonts w:hint="eastAsia"/>
        </w:rPr>
        <w:t xml:space="preserve">全球GPU持有量分布数据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BIS — Semiconductor Export Control Rules (2023-2025)</w:t>
      </w:r>
      <w:r>
        <w:t xml:space="preserve"> </w:t>
      </w:r>
      <w:r>
        <w:t xml:space="preserve">— </w:t>
      </w:r>
      <w:r>
        <w:rPr>
          <w:rFonts w:hint="eastAsia"/>
        </w:rPr>
        <w:t xml:space="preserve">美国对华芯片出口管制政策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本报告由中普咨询调研部完成，所有数据和判断基于截至2026年6月的公开信息和行业调研。报告中的预测性信息存在不确定性，不构成投资建议。</w:t>
      </w:r>
    </w:p>
    <w:p>
      <w:pPr>
        <w:pStyle w:val="BodyText"/>
        <w:ind w:firstLine="640"/>
      </w:pPr>
      <w:r>
        <w:rPr>
          <w:rFonts w:hint="eastAsia"/>
          <w:b/>
          <w:bCs/>
        </w:rPr>
        <w:t xml:space="preserve">报告编写：</w:t>
      </w:r>
      <w:r>
        <w:t xml:space="preserve"> </w:t>
      </w:r>
      <w:r>
        <w:rPr>
          <w:rFonts w:hint="eastAsia"/>
        </w:rPr>
        <w:t xml:space="preserve">调研部/苏砚清</w:t>
      </w:r>
      <w:r>
        <w:t xml:space="preserve"> </w:t>
      </w:r>
      <w:r>
        <w:rPr>
          <w:rFonts w:hint="eastAsia"/>
          <w:b/>
          <w:bCs/>
        </w:rPr>
        <w:t xml:space="preserve">数据审核：</w:t>
      </w:r>
      <w:r>
        <w:t xml:space="preserve"> </w:t>
      </w:r>
      <w:r>
        <w:rPr>
          <w:rFonts w:hint="eastAsia"/>
        </w:rPr>
        <w:t xml:space="preserve">分析部/顾维钧</w:t>
      </w:r>
      <w:r>
        <w:t xml:space="preserve"> </w:t>
      </w:r>
      <w:r>
        <w:rPr>
          <w:rFonts w:hint="eastAsia"/>
          <w:b/>
          <w:bCs/>
        </w:rPr>
        <w:t xml:space="preserve">情报验证：</w:t>
      </w:r>
      <w:r>
        <w:t xml:space="preserve"> </w:t>
      </w:r>
      <w:r>
        <w:rPr>
          <w:rFonts w:hint="eastAsia"/>
        </w:rPr>
        <w:t xml:space="preserve">情报部/沈千帆</w:t>
      </w:r>
      <w:r>
        <w:t xml:space="preserve"> </w:t>
      </w:r>
      <w:r>
        <w:rPr>
          <w:rFonts w:hint="eastAsia"/>
          <w:b/>
          <w:bCs/>
        </w:rPr>
        <w:t xml:space="preserve">合规审查：</w:t>
      </w:r>
      <w:r>
        <w:t xml:space="preserve"> </w:t>
      </w:r>
      <w:r>
        <w:rPr>
          <w:rFonts w:hint="eastAsia"/>
        </w:rPr>
        <w:t xml:space="preserve">合规部/钟正则</w:t>
      </w:r>
      <w:r>
        <w:t xml:space="preserve"> </w:t>
      </w:r>
      <w:r>
        <w:rPr>
          <w:rFonts w:hint="eastAsia"/>
          <w:b/>
          <w:bCs/>
        </w:rPr>
        <w:t xml:space="preserve">签批：</w:t>
      </w:r>
      <w:r>
        <w:t xml:space="preserve"> </w:t>
      </w:r>
      <w:r>
        <w:rPr>
          <w:rFonts w:hint="eastAsia"/>
        </w:rPr>
        <w:t xml:space="preserve">总经办/CEO</w:t>
      </w:r>
    </w:p>
    <w:p>
      <w:pPr>
        <w:pStyle w:val="BodyText"/>
        <w:ind w:firstLine="640"/>
      </w:pPr>
      <w:r>
        <w:rPr>
          <w:rFonts w:hint="eastAsia"/>
          <w:i/>
          <w:iCs/>
        </w:rPr>
        <w:t xml:space="preserve">密级：内部使用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未经授权不得外传</w:t>
      </w:r>
    </w:p>
    <w:bookmarkEnd w:id="92"/>
    <w:bookmarkEnd w:id="93"/>
    <w:sectPr>
      <w:headerReference w:type="default" r:id="rId9"/>
      <w:footnotePr>
        <w:numRestart w:val="eachSect"/>
      </w:footnotePr>
      <w:pgSz w:h="16838" w:w="11906"/>
      <w:pgMar w:bottom="1984" w:left="1587" w:right="1474" w:top="209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仿宋" w:hAnsi="仿宋" w:eastAsia="仿宋"/>
        <w:color w:val="AAAAAA"/>
        <w:sz w:val="15"/>
      </w:rPr>
      <w:t>中普咨询 | MKT-2026-0068 | 机密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560" w:lineRule="exact"/>
    </w:pPr>
    <w:rPr>
      <w:rFonts w:ascii="仿宋" w:eastAsia="仿宋" w:hAnsi="仿宋"/>
      <w:color w:val="000000"/>
      <w:sz w:val="32"/>
    </w:rPr>
  </w:style>
  <w:style w:styleId="BodyText" w:type="paragraph">
    <w:name w:val="Body Text"/>
    <w:basedOn w:val="Normal"/>
    <w:link w:val="BodyTextChar"/>
    <w:qFormat/>
    <w:pPr>
      <w:spacing w:after="180" w:before="180" w:line="560" w:lineRule="exact"/>
    </w:pPr>
    <w:rPr>
      <w:rFonts w:ascii="仿宋" w:eastAsia="仿宋" w:hAnsi="仿宋"/>
      <w:color w:val="000000"/>
      <w:sz w:val="3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560" w:lineRule="exact"/>
      <w:jc w:val="center"/>
      <w:outlineLvl w:val="0"/>
    </w:pPr>
    <w:rPr>
      <w:rFonts w:ascii="宋体" w:asciiTheme="majorHAnsi" w:cstheme="majorBidi" w:eastAsia="宋体" w:eastAsiaTheme="majorEastAsia" w:hAnsi="宋体" w:hAnsiTheme="majorHAnsi"/>
      <w:b/>
      <w:color w:val="000000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1"/>
    </w:pPr>
    <w:rPr>
      <w:rFonts w:ascii="黑体" w:asciiTheme="majorHAnsi" w:cstheme="majorBidi" w:eastAsia="黑体" w:eastAsiaTheme="majorEastAsia" w:hAnsi="黑体" w:hAnsiTheme="majorHAnsi"/>
      <w:b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2"/>
    </w:pPr>
    <w:rPr>
      <w:rFonts w:ascii="楷体" w:cstheme="majorBidi" w:eastAsia="楷体" w:eastAsiaTheme="majorEastAsia" w:hAnsi="楷体"/>
      <w:b/>
      <w:color w:val="000000"/>
      <w:sz w:val="3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560" w:lineRule="exact"/>
      <w:outlineLvl w:val="3"/>
    </w:pPr>
    <w:rPr>
      <w:rFonts w:ascii="仿宋" w:cstheme="majorBidi" w:eastAsia="仿宋" w:eastAsiaTheme="majorEastAsia" w:hAnsi="仿宋"/>
      <w:b/>
      <w:i/>
      <w:iCs/>
      <w:color w:val="000000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320" w:lineRule="exact"/>
    </w:pPr>
    <w:rPr>
      <w:rFonts w:ascii="仿宋" w:eastAsia="仿宋" w:hAnsi="仿宋"/>
      <w:color w:val="00000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仿宋" w:asciiTheme="majorHAnsi" w:cstheme="majorBidi" w:eastAsia="仿宋" w:eastAsiaTheme="majorEastAsia" w:hAnsi="仿宋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2026-06-21T02:18:29Z</dcterms:created>
  <dcterms:modified xsi:type="dcterms:W3CDTF">2026-06-21T02:18:29Z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