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客户使用说明书</w:t>
      </w:r>
    </w:p>
    <w:p>
      <w:pPr>
        <w:pStyle w:val="Subtitle"/>
      </w:pPr>
      <w:r>
        <w:t>原型演示版  V1.1  2026年10月15日</w:t>
      </w:r>
    </w:p>
    <w:p>
      <w:r>
        <w:t>本说明帮助您在原型中自行完成项目创建、资料解析、需求及技术确认、成本核算、审批签发、销售外发和成交归档，并查阅相关管理功能。按步骤切换对应角色和人员，即可体验完整报价流程。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首次体验建议使用内置演示文档和包1。截图来自当前原型的实际页面，放在相应操作内容下方；不同浏览器窗口、已有数据或权限设置可能使画面略有差异。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使用提供给您的访问地址，在同一个浏览器连续操作。顶部可切换演示角色及人员，无须依靠讲解人员代为操作；遇到按钮不可用时请先查看本说明第39节。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第1至3节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认识界面  创建项目  进入报价包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第4至10节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第11至20节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串型候选  子件与来源  员工协作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第21至27节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子件成本  每串毛利率  整包计算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第28至31节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第32至38节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第39节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按钮状态  缺项检查  本地保存与重置</w:t>
            </w:r>
          </w:p>
        </w:tc>
      </w:tr>
    </w:tbl>
    <w:p>
      <w:pPr>
        <w:pStyle w:val="Heading1"/>
      </w:pPr>
      <w:r>
        <w:t>流程顺序</w:t>
      </w:r>
    </w:p>
    <w:p>
      <w:r>
        <w:t>资料解析 → 销售需求确认 → 技术选项确认 → 成本核算与方案选择 → 审批签发 → 销售外发 → 成交追踪</w:t>
      </w:r>
    </w:p>
    <w:p>
      <w:r>
        <w:t>每个阶段先确认顶部角色及当前人员。菜单和流程节点可用于查看页面，但能否操作取决于当前包的阶段、指定人员及权限。</w:t>
      </w:r>
    </w:p>
    <w:p>
      <w:r>
        <w:br w:type="page"/>
      </w:r>
    </w:p>
    <w:p>
      <w:pPr>
        <w:pStyle w:val="Heading1"/>
      </w:pPr>
      <w:r>
        <w:t>1 认识工作台和切换操作身份</w:t>
      </w:r>
    </w:p>
    <w:p>
      <w:pPr>
        <w:widowControl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widowControl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widowControl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widowControl/>
      </w:pPr>
      <w:r>
        <w:t>切换到销售角色，点击“项目台账”或工作台中的“新建项目”。填写项目名称，补充客户单位、地区并选择电网类型。</w:t>
      </w:r>
    </w:p>
    <w:p>
      <w:pPr>
        <w:widowControl/>
      </w:pPr>
      <w:r>
        <w:t>在“项目负责人”中选择销售负责人、技术负责人（总监）和财务负责人。项目创建时就确定操作人员，用户管理中不再进行项目分配。</w:t>
      </w:r>
    </w:p>
    <w:p>
      <w:pPr>
        <w:widowControl/>
      </w:pPr>
      <w:r>
        <w:t>点击“载入演示文档”。系统读取内置的《一般线路金具与防舞金具货物清单》，展示32个报价包及汇总信息。核对后点击“创建项目”，再点击“查看报价包”。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从项目进入具体报价包</w:t>
      </w:r>
    </w:p>
    <w:p>
      <w:pPr>
        <w:widowControl/>
      </w:pPr>
      <w:r>
        <w:t>在项目台账点击项目名称或“进入”，查看本项目的报价包列表。可搜索报价包，并按阶段筛选；列表展示电压等级、技术编码种类数、货物总数量和地域分布。</w:t>
      </w:r>
    </w:p>
    <w:p>
      <w:pPr>
        <w:widowControl/>
      </w:pPr>
      <w:r>
        <w:t>首次体验建议点击“包1”或该行“进入”。项目物料清单已自动带入各报价包，进入新包后从资料解析开始。</w:t>
      </w:r>
    </w:p>
    <w:p>
      <w:pPr>
        <w:widowControl/>
      </w:pPr>
      <w:r>
        <w:t>物料清单可识别32个包；现有技术资料覆盖包1、2、3、4、6、8、11、12、20、21、25、29。其他包暂未提供对应演示技术资料，页面会提示，体验时请选择上述报价包。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kag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点击包名称进入当前包</w:t>
      </w:r>
    </w:p>
    <w:p>
      <w:r>
        <w:br w:type="page"/>
      </w:r>
    </w:p>
    <w:p>
      <w:pPr>
        <w:pStyle w:val="Heading1"/>
      </w:pPr>
      <w:r>
        <w:t>4 为本包载入演示技术资料</w:t>
      </w:r>
    </w:p>
    <w:p>
      <w:pPr>
        <w:widowControl/>
      </w:pPr>
      <w:r>
        <w:t>保持为本包指定的销售人员，在“资料解析”点击“载入演示资料”。即使清单中已有项目物料清单，也可以追加本包技术资料。</w:t>
      </w:r>
    </w:p>
    <w:p>
      <w:pPr>
        <w:widowControl/>
      </w:pPr>
      <w:r>
        <w:t>系统按包名称载入对应技术规范书目录中的文件。包1会追加15份ZIP技术文件，与原物料清单合计16份；包11保留其技术规范书ZIP原文件。已载入的文件不会重复追加。</w:t>
      </w:r>
    </w:p>
    <w:p>
      <w:pPr>
        <w:widowControl/>
      </w:pPr>
      <w:r>
        <w:t>本说明按内置演示资料引导操作。当前解析流程及后续货物项使用预置样例展示，不代表这些ZIP文件已被真实模型逐份识别；32个包的汇总来自项目物料清单。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d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包1资料清单 保留物料清单并追加本包技术资料</w:t>
      </w:r>
    </w:p>
    <w:p>
      <w:r>
        <w:br w:type="page"/>
      </w:r>
    </w:p>
    <w:p>
      <w:pPr>
        <w:pStyle w:val="Heading1"/>
      </w:pPr>
      <w:r>
        <w:t>5 确认资料并启动解析</w:t>
      </w:r>
    </w:p>
    <w:p>
      <w:pPr>
        <w:widowControl/>
      </w:pPr>
      <w:r>
        <w:t>核对资料清单后，点击“开始解析”。在弹窗中检查报价包名称及资料数量，再点击“确认开始解析”。</w:t>
      </w:r>
    </w:p>
    <w:p>
      <w:pPr>
        <w:widowControl/>
      </w:pPr>
      <w:r>
        <w:t>包1的16份资料演示约需48秒。解析过程中请留在当前页面；如需中止，可点击“取消解析”，之后重新发起。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s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6 查看解析进度和完成结果</w:t>
      </w:r>
    </w:p>
    <w:p>
      <w:pPr>
        <w:widowControl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widowControl/>
      </w:pPr>
      <w:r>
        <w:t>长文件名会在卡片内省略显示，可悬停查看完整名称；窗口较矮时可滚动右侧详情区域。解析完成后进入需求确认页面，查看生成的演示货物项。</w:t>
      </w:r>
    </w:p>
    <w:p>
      <w:pPr>
        <w:widowControl/>
      </w:pPr>
      <w:r>
        <w:t>查看资料清单中的过程记录与重新解析是两项操作。需要重新生成本轮结果时，请按下一页返回资料解析并点击“重新解析”。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se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7 返回资料解析页面重新解析</w:t>
      </w:r>
    </w:p>
    <w:p>
      <w:pPr>
        <w:widowControl/>
      </w:pPr>
      <w:r>
        <w:t>在资料整理或销售与技术确认阶段，切换到本包指定销售人员，点击左侧“资料解析”，再点击“重新解析”。</w:t>
      </w:r>
    </w:p>
    <w:p>
      <w:pPr>
        <w:widowControl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widowControl/>
      </w:pPr>
      <w:r>
        <w:t>完成后需要重新核对及确认。若包已进入核价或后续流程，需先按业务流程退回可修改阶段；已签发报价的变更可使用“创建报价新版本”。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repa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8 销售核对需求与本次报价范围</w:t>
      </w:r>
    </w:p>
    <w:p>
      <w:pPr>
        <w:widowControl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widowControl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widowControl/>
      </w:pPr>
      <w:r>
        <w:t>宽表格可横向滚动查看后面的状态与操作列。页面生成4条演示货物项用于体验，不等同于包1物料清单的65条真实明细。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9 对照来源核对和修改需求</w:t>
      </w:r>
    </w:p>
    <w:p>
      <w:pPr>
        <w:widowControl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widowControl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widowControl/>
      </w:pPr>
      <w:r>
        <w:t>这里展示的是预置演示清单的来源截图，来源文件名和行号以面板显示为准；它不是当前载入ZIP文件的实时识别证据。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s-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10 完成销售确认并交给技术</w:t>
      </w:r>
    </w:p>
    <w:p>
      <w:pPr>
        <w:widowControl/>
      </w:pPr>
      <w:r>
        <w:t>完成客户需求与报价范围核对后，点击页面下方“确认需求与范围”。销售确认成功后，技术阶段可以继续处理，即使列表仍有技术缺项。</w:t>
      </w:r>
    </w:p>
    <w:p>
      <w:pPr>
        <w:widowControl/>
      </w:pPr>
      <w:r>
        <w:t>“导出Excel”按当前筛选导出货物项，便于线下复核；它与后续“下载报价单Excel”用途不同。若确认按钮不可用，请检查是否为指定销售、当前阶段以及名称数量单位。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11 进入技术选项确认</w:t>
      </w:r>
    </w:p>
    <w:p>
      <w:pPr>
        <w:widowControl/>
      </w:pPr>
      <w:r>
        <w:t>切换为“技术”，并在当前人员中选择本包的技术总监，例如“技术 · 李总监”，点击“技术选项确认”。仅切换技术角色而仍为普通员工，可能提示无权处理。</w:t>
      </w:r>
    </w:p>
    <w:p>
      <w:pPr>
        <w:widowControl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chnical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12 核对串型信息并保存</w:t>
      </w:r>
    </w:p>
    <w:p>
      <w:pPr>
        <w:widowControl/>
      </w:pPr>
      <w:r>
        <w:t>点击货物项的“去确认”，对照来源资料核对串型号、电压等级和适用导线。修改时填写原因，点击“保存串信息”。</w:t>
      </w:r>
    </w:p>
    <w:p>
      <w:pPr>
        <w:widowControl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widowControl/>
      </w:pPr>
      <w:r>
        <w:t>技术人员继续完善本轮需求时，销售确认可随当前版本延续；若流程被退回或页面提示确认失效，应重新完成相应确认。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in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13 选择匹配的候选串</w:t>
      </w:r>
    </w:p>
    <w:p>
      <w:pPr>
        <w:widowControl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widowControl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widowControl/>
      </w:pPr>
      <w:r>
        <w:t>如果提示当前匹配串与电压或导线不一致，请重新核对并选择；不要仅为推进流程忽略差异。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in-candi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14 查看子件并定位缺失字段</w:t>
      </w:r>
    </w:p>
    <w:p>
      <w:pPr>
        <w:widowControl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widowControl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rts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15 补充普通子件信息</w:t>
      </w:r>
    </w:p>
    <w:p>
      <w:pPr>
        <w:widowControl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widowControl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rt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16 处理同规格多料号候选</w:t>
      </w:r>
    </w:p>
    <w:p>
      <w:pPr>
        <w:widowControl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widowControl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widowControl/>
      </w:pPr>
      <w:r>
        <w:t>如“保存子件”仍不可用，检查候选、材质和用量是否已填写，以及当前人员是否具有技术处理权限。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rt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17 选择导线包缠物型号和材质</w:t>
      </w:r>
    </w:p>
    <w:p>
      <w:pPr>
        <w:widowControl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widowControl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widowControl/>
      </w:pPr>
      <w:r>
        <w:t>选择会联动更新相关线夹。页面标明的材质与料号组合为演示映射，历史推荐仅供本次技术核对参考。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rap-sel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18 技术总监指派员工协助处理</w:t>
      </w:r>
    </w:p>
    <w:p>
      <w:pPr>
        <w:widowControl/>
      </w:pPr>
      <w:r>
        <w:t>技术总监可以自行完成全部核对，也可以点击页面下方“指派”，选择技术员工并点击“保存指派”。本例可选择“技术 · 李工”。</w:t>
      </w:r>
    </w:p>
    <w:p>
      <w:pPr>
        <w:widowControl/>
      </w:pPr>
      <w:r>
        <w:t>员工接到任务后，切换到技术角色及该员工身份，进入本包完成串型与子件缺项处理。指派是协助处理任务，最终确认责任仍由技术总监承担。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chnical-assign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技术总监选择员工并保存指派</w:t>
      </w:r>
    </w:p>
    <w:p>
      <w:r>
        <w:br w:type="page"/>
      </w:r>
    </w:p>
    <w:p>
      <w:pPr>
        <w:pStyle w:val="Heading1"/>
      </w:pPr>
      <w:r>
        <w:t>19 员工提交与总监最终确认</w:t>
      </w:r>
    </w:p>
    <w:p>
      <w:pPr>
        <w:widowControl/>
      </w:pPr>
      <w:r>
        <w:t>员工完成全部缺项后点击“提交总监确认”。若按钮不可用，返回串信息和子件清单处理剩余缺项；提交后等待总监复核。</w:t>
      </w:r>
    </w:p>
    <w:p>
      <w:pPr>
        <w:widowControl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widowControl/>
      </w:pPr>
      <w:r>
        <w:t>确认完成后，本包进入成本核算阶段，BOM与演示U9价格自动带出。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mployee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20 查看技术确认后的BOM</w:t>
      </w:r>
    </w:p>
    <w:p>
      <w:pPr>
        <w:widowControl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widowControl/>
      </w:pPr>
      <w:r>
        <w:t>BOM用于核对技术与成本依据；本说明中的库价、历史价、DEMO料号及图号均为原型演示信息，正式业务数据需另行核验。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21 进入成本核算并检查整包汇总</w:t>
      </w:r>
    </w:p>
    <w:p>
      <w:pPr>
        <w:widowControl/>
      </w:pPr>
      <w:r>
        <w:t>切换为本包指定财务负责人，点击“成本核算与方案选择”。技术确认完成前不能开始核价。</w:t>
      </w:r>
    </w:p>
    <w:p>
      <w:pPr>
        <w:widowControl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widowControl/>
      </w:pPr>
      <w:r>
        <w:t>演示价格只用于体验成本与报价联动，不作为正式采购或销售价格。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nce-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22 展开子件核对本次成本</w:t>
      </w:r>
    </w:p>
    <w:p>
      <w:pPr>
        <w:widowControl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widowControl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st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23 每串分别设置目标毛利率</w:t>
      </w:r>
    </w:p>
    <w:p>
      <w:pPr>
        <w:widowControl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widowControl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tem-margi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24 理解毛利与报价的计算结果</w:t>
      </w:r>
    </w:p>
    <w:p>
      <w:pPr>
        <w:widowControl/>
      </w:pPr>
      <w:r>
        <w:t>示例：某串单位成本100元，目标毛利率20%，未税单价为125元；采购10套，未税报价1250元、成本1000元、毛利额250元。税率13%时，含税报价为1412.50元。</w:t>
      </w:r>
    </w:p>
    <w:p>
      <w:pPr>
        <w:widowControl/>
      </w:pPr>
      <w:r>
        <w:t>目标毛利率按收入计算。上述20%不等于在100元成本上加20元。系统按下表关系联动计算；页面金额以实际显示的小数位为准。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计算方式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每串未税单价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该项毛利额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整包总毛利率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整包含税报价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整包未税报价 ×（1＋税率）</w:t>
            </w:r>
          </w:p>
        </w:tc>
      </w:tr>
    </w:tbl>
    <w:p>
      <w:r>
        <w:br w:type="page"/>
      </w:r>
    </w:p>
    <w:p>
      <w:pPr>
        <w:pStyle w:val="Heading1"/>
      </w:pPr>
      <w:r>
        <w:t>25 保存核价草稿或提交审批</w:t>
      </w:r>
    </w:p>
    <w:p>
      <w:pPr>
        <w:widowControl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widowControl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widowControl/>
      </w:pPr>
      <w:r>
        <w:t>需要技术重核时，使用“驳回到技术选项确认”并填写具体原因；退回后相关确认需按新版本重新完成。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icing-sa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26 按当前审批节点提交意见</w:t>
      </w:r>
    </w:p>
    <w:p>
      <w:pPr>
        <w:widowControl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widowControl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widowControl/>
      </w:pPr>
      <w:r>
        <w:t>需财务重新核价时点击“退回核价”并填写原因。董事长可查看进度和风险提醒；金额阈值或毛利红线提醒不自动新增董事长审批节点。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proval-opin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27 由指定财务人员签发报价</w:t>
      </w:r>
    </w:p>
    <w:p>
      <w:pPr>
        <w:widowControl/>
      </w:pPr>
      <w:r>
        <w:t>所有审批节点完成后，查看最终签发节点的指定处理人。切换到该财务人员，核对报价及审批状态，点击“签发正式报价”。</w:t>
      </w:r>
    </w:p>
    <w:p>
      <w:pPr>
        <w:widowControl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ssue-read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28 销售查看下载并登记外发</w:t>
      </w:r>
    </w:p>
    <w:p>
      <w:pPr>
        <w:widowControl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widowControl/>
      </w:pPr>
      <w:r>
        <w:t>点击“下载报价单Excel”保存报价单。确认已经在实际业务中向客户发送后，点击“登记外发”，本包进入客户议价中。</w:t>
      </w:r>
    </w:p>
    <w:p>
      <w:pPr>
        <w:widowControl/>
      </w:pPr>
      <w:r>
        <w:t>“登记外发”只记录演示业务状态，不会自动发送邮件或消息给客户。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ales-quo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29 客户议价时调整报价或新建版本</w:t>
      </w:r>
    </w:p>
    <w:p>
      <w:pPr>
        <w:widowControl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widowControl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widowControl/>
      </w:pPr>
      <w:r>
        <w:t>下载时若仍有报价调整草稿，系统先尝试保存。本轮正式商务条件仍需按实际客户约定核对。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just-quo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30 登记成交结果并归档</w:t>
      </w:r>
    </w:p>
    <w:p>
      <w:pPr>
        <w:widowControl/>
      </w:pPr>
      <w:r>
        <w:t>外发后点击“成交追踪”或报价页面的“登记成交结果”。选择已成交、未成交或已取消，填写必填的“客户反馈与依据”。</w:t>
      </w:r>
    </w:p>
    <w:p>
      <w:pPr>
        <w:widowControl/>
      </w:pPr>
      <w:r>
        <w:t>点击“保存并归档入库”。系统保存结果并将本包归档，报价进入只读状态；填写真实结果前，请先核对客户确认或未成交、取消依据。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al-dia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31 从历史库查阅归档报价</w:t>
      </w:r>
    </w:p>
    <w:p>
      <w:pPr>
        <w:widowControl/>
      </w:pPr>
      <w:r>
        <w:t>点击“历史库”，通过项目、包名或客户等信息查找归档包，查看成交状态与报价版本，进入详情查阅已保存报价。</w:t>
      </w:r>
    </w:p>
    <w:p>
      <w:pPr>
        <w:widowControl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32 管理用户并查看在办责任</w:t>
      </w:r>
    </w:p>
    <w:p>
      <w:pPr>
        <w:widowControl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widowControl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er-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33 新增用户并保存</w:t>
      </w:r>
    </w:p>
    <w:p>
      <w:pPr>
        <w:widowControl/>
      </w:pPr>
      <w:r>
        <w:t>在用户管理点击“新增用户”，填写姓名、演示账号和角色。技术用户还需按页面选择员工或总监岗位。</w:t>
      </w:r>
    </w:p>
    <w:p>
      <w:pPr>
        <w:widowControl/>
      </w:pPr>
      <w:r>
        <w:t>点击“保存用户”，返回列表检查新增记录；已启用人员可进入相应角色的人员候选。已有项目不会因新增用户而自动转交责任。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-u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34 停用前处理在办项目和任务</w:t>
      </w:r>
    </w:p>
    <w:p>
      <w:pPr>
        <w:widowControl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widowControl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widowControl/>
      </w:pPr>
      <w:r>
        <w:t>成功停用后，该人员不能作为新的负责人候选。需要恢复时点击“启用”；同一角色最后一位启用人员也不能直接停用。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disable-block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35 配置角色页面权限与操作权限</w:t>
      </w:r>
    </w:p>
    <w:p>
      <w:pPr>
        <w:widowControl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widowControl/>
      </w:pPr>
      <w:r>
        <w:t>切换到相应角色验证效果。左侧导航仍完整展示；没有页面权限时显示权限提示，操作权限则决定是否允许执行相关业务动作。</w:t>
      </w:r>
    </w:p>
    <w:p>
      <w:pPr>
        <w:widowControl/>
      </w:pPr>
      <w:r>
        <w:t>页面授权仍受系统角色职责约束，不能把财务核价等专业动作任意赋予其他角色。当前原型没有真实账号认证，权限设置用于流程演示。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le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36 维护审批流程和默认负责人模板</w:t>
      </w:r>
    </w:p>
    <w:p>
      <w:pPr>
        <w:widowControl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widowControl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widowControl/>
      </w:pPr>
      <w:r>
        <w:t>金额阈值与毛利红线仅董事长可以保存。默认负责人模板不是用户级项目分配，新建项目时仍需确认本项目负责人。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orkflow-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37 查看资料治理的来源和版本</w:t>
      </w:r>
    </w:p>
    <w:p>
      <w:pPr>
        <w:widowControl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widowControl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widowControl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gover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38 查阅规则字典与后续功能范围</w:t>
      </w:r>
    </w:p>
    <w:p>
      <w:pPr>
        <w:widowControl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widowControl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39 操作遇到问题时如何继续</w:t>
      </w:r>
    </w:p>
    <w:p>
      <w:pPr>
        <w:widowControl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widowControl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widowControl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widowControl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widowControl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2026年10月15日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34"/>
      <w:szCs w:val="28"/>
      <w: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26"/>
      <w:szCs w:val="26"/>
      <w: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365F91" w:themeColor="accent1" w:themeShade="BF"/>
      <w:sz w:val="28"/>
      <w:szCs w:val="28"/>
      <w: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4F81BD" w:themeColor="accent1"/>
      <w:sz w:val="26"/>
      <w:szCs w:val="26"/>
      <w: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黑体" w:cs="Arial"/>
      <w:b w:val="0"/>
      <w:i w:val="0"/>
      <w:outline w:val="0"/>
      <w:shadow w:val="0"/>
      <w:emboss w:val="0"/>
      <w:imprint w:val="0"/>
      <w:color w:val="000000"/>
      <w:spacing w:val="5"/>
      <w:kern w:val="28"/>
      <w:sz w:val="56"/>
      <w:szCs w:val="52"/>
      <w:cs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黑体" w:cs="Arial"/>
      <w:b w:val="0"/>
      <w:i w:val="0"/>
      <w:outline w:val="0"/>
      <w:shadow w:val="0"/>
      <w:emboss w:val="0"/>
      <w:imprint w:val="0"/>
      <w:color w:val="17365D" w:themeColor="text2" w:themeShade="BF"/>
      <w:spacing w:val="5"/>
      <w:kern w:val="28"/>
      <w:sz w:val="52"/>
      <w:szCs w:val="52"/>
      <w:cs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000000"/>
      <w:spacing w:val="15"/>
      <w:sz w:val="24"/>
      <w:szCs w:val="24"/>
      <w:cs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4F81BD" w:themeColor="accent1"/>
      <w:spacing w:val="15"/>
      <w:sz w:val="24"/>
      <w:szCs w:val="24"/>
      <w:cs w:val="0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18"/>
      <w:szCs w:val="18"/>
      <w: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红光金具智能报价系统客户使用说明书</dc:title>
  <dc:subject>面向客户的原型操作说明</dc:subject>
  <dc:creator>红光项目组</dc:creator>
  <cp:keywords>客户使用说明书  原型  金具报价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