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5.png" ContentType="image/jpeg"/>
  <Override PartName="/word/media/image17.png" ContentType="image/jpeg"/>
  <Override PartName="/word/media/image18.png" ContentType="image/jpeg"/>
  <Override PartName="/word/media/image19.png" ContentType="image/jpeg"/>
  <Override PartName="/word/media/image21.png" ContentType="image/jpeg"/>
  <Override PartName="/word/media/image22.png" ContentType="image/jpeg"/>
  <Override PartName="/word/media/image23.png" ContentType="image/jpeg"/>
  <Override PartName="/word/media/image24.png" ContentType="image/jpeg"/>
  <Override PartName="/word/media/image25.png" ContentType="image/jpeg"/>
  <Override PartName="/word/media/image26.png" ContentType="image/jpeg"/>
  <Override PartName="/word/media/image27.png" ContentType="image/jpeg"/>
  <Override PartName="/word/media/image28.png" ContentType="image/jpeg"/>
  <Override PartName="/word/media/image29.png" ContentType="image/jpeg"/>
  <Override PartName="/word/media/image30.png" ContentType="image/jpeg"/>
  <Override PartName="/word/media/image31.png" ContentType="image/jpeg"/>
  <Override PartName="/word/media/image32.png" ContentType="image/jpeg"/>
  <Override PartName="/word/media/image33.png" ContentType="image/jpeg"/>
  <Override PartName="/word/media/image34.png" ContentType="image/jpeg"/>
  <Override PartName="/word/media/image35.png" ContentType="image/jpeg"/>
  <Override PartName="/word/media/image36.png" ContentType="image/jpeg"/>
  <Override PartName="/word/media/image37.png" ContentType="image/jpeg"/>
  <Override PartName="/word/media/image38.png" ContentType="image/jpeg"/>
  <Override PartName="/word/media/image39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红光金具智能报价系统</w:t>
      </w:r>
    </w:p>
    <w:p>
      <w:pPr>
        <w:pStyle w:val="Title"/>
      </w:pPr>
      <w:r>
        <w:t>用户使用说明书</w:t>
      </w:r>
    </w:p>
    <w:p>
      <w:pPr>
        <w:pStyle w:val="Subtitle"/>
      </w:pPr>
      <w:r>
        <w:t>原型演示版  V2.0  2026年10月22日</w:t>
      </w:r>
    </w:p>
    <w:p>
      <w:r>
        <w:t>本说明帮助您在原型中自行完成项目创建、物料清单工作表解析、报价包批量处理、需求及技术确认、成本核算、审批签发、销售外发和成交归档，并查阅相关管理功能。按步骤切换对应角色和人员，即可体验完整报价流程。</w:t>
      </w:r>
    </w:p>
    <w:p>
      <w:r>
        <w:t>首次体验建议使用内置演示文档并选择包1，先只勾选“一般线路金具与防舞金具”工作表，取消两个测试工作表。截图取自当前线上原型的实际页面，放在相应操作内容下方；不同浏览器窗口、已有数据或权限设置可能使画面略有差异。</w:t>
      </w:r>
    </w:p>
    <w:p>
      <w:r>
        <w:t>当前为本地保存的交互原型。资料解析、库价、技术推荐及服务集成存在演示数据；说明书中的技术输入值和报价金额仅用于操作体验，正式业务以经确认资料及审批结果为准。</w:t>
      </w:r>
    </w:p>
    <w:p>
      <w:pPr>
        <w:pStyle w:val="Heading1"/>
      </w:pPr>
      <w:r>
        <w:t>准备事项</w:t>
      </w:r>
    </w:p>
    <w:p>
      <w:r>
        <w:t>使用提供给您的访问地址，在同一个浏览器连续操作，数据保存在该浏览器本地。顶部右侧可切换演示角色及人员，无须依靠讲解人员代为操作；遇到按钮不可用时请先查看第43节。</w:t>
      </w:r>
    </w:p>
    <w:p>
      <w:r>
        <w:br w:type="page"/>
      </w:r>
    </w:p>
    <w:p>
      <w:pPr>
        <w:pStyle w:val="Heading1"/>
      </w:pPr>
      <w:r>
        <w:t>阅读导航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2F6F9"/>
          </w:tcPr>
          <w:p>
            <w:pPr>
              <w:spacing w:before="20" w:after="20"/>
            </w:pPr>
            <w:r>
              <w:rPr>
                <w:b/>
                <w:sz w:val="18"/>
              </w:rPr>
              <w:t>阅读目的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2F6F9"/>
          </w:tcPr>
          <w:p>
            <w:pPr>
              <w:spacing w:before="20" w:after="20"/>
            </w:pPr>
            <w:r>
              <w:rPr>
                <w:b/>
                <w:sz w:val="18"/>
              </w:rPr>
              <w:t>对应章节</w:t>
            </w:r>
          </w:p>
        </w:tc>
        <w:tc>
          <w:tcPr>
            <w:tcW w:type="dxa" w:w="96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2F6F9"/>
          </w:tcPr>
          <w:p>
            <w:pPr>
              <w:spacing w:before="20" w:after="20"/>
            </w:pPr>
            <w:r>
              <w:rPr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8"/>
              </w:rPr>
              <w:t>开始体验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8"/>
              </w:rPr>
              <w:t>第1至5节</w:t>
            </w:r>
          </w:p>
        </w:tc>
        <w:tc>
          <w:tcPr>
            <w:tcW w:type="dxa" w:w="96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8"/>
              </w:rPr>
              <w:t>认识界面  创建项目  工作表解析  进入报价包  批量选择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8"/>
              </w:rPr>
              <w:t>资料与需求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8"/>
              </w:rPr>
              <w:t>第6至12节</w:t>
            </w:r>
          </w:p>
        </w:tc>
        <w:tc>
          <w:tcPr>
            <w:tcW w:type="dxa" w:w="96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8"/>
              </w:rPr>
              <w:t>本包演示资料  解析与重新解析  销售确认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8"/>
              </w:rPr>
              <w:t>技术核对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8"/>
              </w:rPr>
              <w:t>第13至23节</w:t>
            </w:r>
          </w:p>
        </w:tc>
        <w:tc>
          <w:tcPr>
            <w:tcW w:type="dxa" w:w="96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8"/>
              </w:rPr>
              <w:t>串型候选  子件与来源  参考件  跨包指派  总监确认  BOM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8"/>
              </w:rPr>
              <w:t>成本与审批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8"/>
              </w:rPr>
              <w:t>第24至31节</w:t>
            </w:r>
          </w:p>
        </w:tc>
        <w:tc>
          <w:tcPr>
            <w:tcW w:type="dxa" w:w="96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8"/>
              </w:rPr>
              <w:t>子件成本  参考成本  演示口径  毛利率  核价提交  审批签发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8"/>
              </w:rPr>
              <w:t>对外报价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8"/>
              </w:rPr>
              <w:t>第32至35节</w:t>
            </w:r>
          </w:p>
        </w:tc>
        <w:tc>
          <w:tcPr>
            <w:tcW w:type="dxa" w:w="96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8"/>
              </w:rPr>
              <w:t>下载外发  调整与新版本  成交结果  历史库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8"/>
              </w:rPr>
              <w:t>管理与查阅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8"/>
              </w:rPr>
              <w:t>第36至42节</w:t>
            </w:r>
          </w:p>
        </w:tc>
        <w:tc>
          <w:tcPr>
            <w:tcW w:type="dxa" w:w="96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8"/>
              </w:rPr>
              <w:t>用户启停  角色权限  流程模板  资料治理  规则与后续范围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8"/>
              </w:rPr>
              <w:t>操作问题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8"/>
              </w:rPr>
              <w:t>第43节</w:t>
            </w:r>
          </w:p>
        </w:tc>
        <w:tc>
          <w:tcPr>
            <w:tcW w:type="dxa" w:w="96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8"/>
              </w:rPr>
              <w:t>按钮状态  缺项检查  本地保存与重置</w:t>
            </w:r>
          </w:p>
        </w:tc>
      </w:tr>
    </w:tbl>
    <w:p/>
    <w:p>
      <w:r>
        <w:t>本版相较 V1.5 的主要变化：新增第3节工作表识别与解析、第5节跨包批量处理、第21节跨包技术指派；第4节调整了报价包列表的进入方式与分类筛选；第43节补充了四类新的按钮禁用原因。</w:t>
      </w:r>
    </w:p>
    <w:p>
      <w:pPr>
        <w:spacing w:after="120"/>
      </w:pPr>
      <w:r>
        <w:t>原型演示版 V2.0 · 2026年10月22日</w:t>
      </w:r>
    </w:p>
    <w:p>
      <w:pPr>
        <w:spacing w:after="120"/>
      </w:pPr>
      <w:r>
        <w:t>本说明书对应原型版本 `8f86f11`。与 V1.5 相比，本版新增物料清单工作表解析、跨包批量处理、跨包技术指派三项能力，并调整了报价包列表的进入方式。文中截图取自线上演示环境，项目名称、金额、人员均为演示数据。</w:t>
      </w:r>
    </w:p>
    <w:p>
      <w:pPr>
        <w:pStyle w:val="Heading1"/>
      </w:pPr>
      <w:r>
        <w:t>1 认识工作台和切换操作身份</w:t>
      </w:r>
    </w:p>
    <w:p>
      <w:pPr>
        <w:spacing w:after="120"/>
      </w:pPr>
      <w:r>
        <w:t>打开提供给您的原型访问地址。左侧是功能导航，顶部右侧是角色与人员切换入口，主区域展示当前页面。首次使用请从“项目台账”开始；已有项目可从工作台待办或项目进度进入。</w:t>
      </w:r>
    </w:p>
    <w:p>
      <w:pPr>
        <w:spacing w:after="120"/>
      </w:pPr>
      <w:r>
        <w:t>左侧导航分四组：报价项目（工作台、项目台账、资料解析、销售需求确认、技术选项确认、成本核算与方案选择、审批签发、销售外发、成交追踪）、资产与规则（资料治理、历史库、规则与字典）、系统管理（用户管理、角色管理、审批与流程配置）、后续阶段（成本库与集成、报告与出图）。</w:t>
      </w:r>
    </w:p>
    <w:p>
      <w:pPr>
        <w:spacing w:after="120"/>
      </w:pPr>
      <w:r>
        <w:t>先选择角色，再选择当前人员。销售负责创建项目、需求确认、外发和跟进；技术负责串型与子件；财务负责成本核算及审批签发；董事长查看经营与报价情况；管理员维护用户、权限和流程。</w:t>
      </w:r>
    </w:p>
    <w:p>
      <w:pPr>
        <w:spacing w:after="120"/>
      </w:pPr>
      <w:r>
        <w:t>切换角色不会自动把任务转交给您。出现“无权访问”或按钮不可用时，请核对页面提示的指定负责人，再在顶部切换到该人员。截图中的项目、金额和人员均为演示示例。</w:t>
      </w:r>
    </w:p>
    <w:p>
      <w:r>
        <w:drawing>
          <wp:inline xmlns:a="http://schemas.openxmlformats.org/drawingml/2006/main" xmlns:pic="http://schemas.openxmlformats.org/drawingml/2006/picture">
            <wp:extent cx="7200000" cy="40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workspa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工作台与右上角角色及人员选择入口</w:t>
      </w:r>
    </w:p>
    <w:p>
      <w:r>
        <w:br w:type="page"/>
      </w:r>
    </w:p>
    <w:p>
      <w:pPr>
        <w:pStyle w:val="Heading1"/>
      </w:pPr>
      <w:r>
        <w:t>2 创建项目并选择负责人</w:t>
      </w:r>
    </w:p>
    <w:p>
      <w:pPr>
        <w:spacing w:after="120"/>
      </w:pPr>
      <w:r>
        <w:t>切换到销售角色，点击“项目台账”，再点击右上角“新建项目”。填写项目名称，补充客户单位、地区并选择电网类型。</w:t>
      </w:r>
    </w:p>
    <w:p>
      <w:pPr>
        <w:spacing w:after="120"/>
      </w:pPr>
      <w:r>
        <w:t>在“项目负责人”中选择销售负责人、技术负责人（总监）和财务负责人。项目创建时就确定操作人员，用户管理中不再进行项目分配。这三项决定后续每一步由谁处理，演示时请记住所选人员。</w:t>
      </w:r>
    </w:p>
    <w:p>
      <w:pPr>
        <w:spacing w:after="120"/>
      </w:pPr>
      <w:r>
        <w:t>填写完成后点击“载入演示文档”（或点击“选择物料清单”上传自己的 Excel）。注意：载入文档只完成登记，系统还需要识别并解析工作表，见下一节。</w:t>
      </w:r>
    </w:p>
    <w:p>
      <w:r>
        <w:drawing>
          <wp:inline xmlns:a="http://schemas.openxmlformats.org/drawingml/2006/main" xmlns:pic="http://schemas.openxmlformats.org/drawingml/2006/picture">
            <wp:extent cx="7200000" cy="40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reate-proje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创建项目 负责人选择及载入演示文档</w:t>
      </w:r>
    </w:p>
    <w:p>
      <w:r>
        <w:br w:type="page"/>
      </w:r>
    </w:p>
    <w:p>
      <w:pPr>
        <w:pStyle w:val="Heading1"/>
      </w:pPr>
      <w:r>
        <w:t>3 识别并解析物料清单工作表</w:t>
      </w:r>
    </w:p>
    <w:p>
      <w:pPr>
        <w:spacing w:after="120"/>
      </w:pPr>
      <w:r>
        <w:t>载入文档后，页面在“选择物料清单”下方展开工作表区域。系统按工作表识别报价包，并逐个列出工作表名称、识别到的报价包数量和当前状态（待解析）。</w:t>
      </w:r>
    </w:p>
    <w:p>
      <w:pPr>
        <w:spacing w:after="120"/>
      </w:pPr>
      <w:r>
        <w:t>工作表默认全部勾选。用于流程测试的工作表（演示文件中命名为“测试1”“测试2”）会一并列出，正式使用时请取消勾选，只保留实际需要报价的工作表。</w:t>
      </w:r>
    </w:p>
    <w:p>
      <w:pPr>
        <w:spacing w:after="120"/>
      </w:pPr>
      <w:r>
        <w:t>点击“解析所选工作表”。按钮在解析过程中显示“正在解析（1/3）”的进度，逐个工作表完成。</w:t>
      </w:r>
    </w:p>
    <w:p>
      <w:pPr>
        <w:spacing w:after="120"/>
      </w:pPr>
      <w:r>
        <w:t>解析完成前，“创建项目”按钮保持灰色且不会弹出提示。这是本系统最容易卡住的环节：只载入文档而不解析，页面看起来一切正常，但项目建不出来。请以按钮是否恢复可点击作为判断依据。</w:t>
      </w:r>
    </w:p>
    <w:p>
      <w:r>
        <w:drawing>
          <wp:inline xmlns:a="http://schemas.openxmlformats.org/drawingml/2006/main" xmlns:pic="http://schemas.openxmlformats.org/drawingml/2006/picture">
            <wp:extent cx="7200000" cy="40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worksheet-par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工作表识别与解析 解析前按钮禁止提交</w:t>
      </w:r>
    </w:p>
    <w:p>
      <w:r>
        <w:br w:type="page"/>
      </w:r>
    </w:p>
    <w:p>
      <w:pPr>
        <w:pStyle w:val="Heading1"/>
      </w:pPr>
      <w:r>
        <w:t>4 从项目进入具体报价包</w:t>
      </w:r>
    </w:p>
    <w:p>
      <w:pPr>
        <w:spacing w:after="120"/>
      </w:pPr>
      <w:r>
        <w:t>解析完成后点击“创建项目”，系统提示“已为你新建所有包”，并说明本次创建了多少个报价包。点击“查看报价包”进入列表。</w:t>
      </w:r>
    </w:p>
    <w:p>
      <w:pPr>
        <w:spacing w:after="120"/>
      </w:pPr>
      <w:r>
        <w:t>列表顶部按工作表分类展示，例如“全部 34”“一般线路金具与防舞金具 32”“测试1 1”“测试2 1”。每行显示类别、电压等级、技术编码种类数、货物总数量、地域分布、总价、毛利率和创建时间。</w:t>
      </w:r>
    </w:p>
    <w:p>
      <w:pPr>
        <w:spacing w:after="120"/>
      </w:pPr>
      <w:r>
        <w:t>点击包名称（蓝色文字）进入该报价包。销售、技术、财务的入口位置不同：销售在项目台账里直接点包名；技术与财务先在项目层面看到项目行，再点“进入”。两套视图不是同一个页面，切换角色后请重新定位。</w:t>
      </w:r>
    </w:p>
    <w:p>
      <w:pPr>
        <w:spacing w:after="120"/>
      </w:pPr>
      <w:r>
        <w:t>首次体验建议点击“包1”。项目物料清单已自动带入各报价包，进入后从资料解析开始。</w:t>
      </w:r>
    </w:p>
    <w:p>
      <w:r>
        <w:drawing>
          <wp:inline xmlns:a="http://schemas.openxmlformats.org/drawingml/2006/main" xmlns:pic="http://schemas.openxmlformats.org/drawingml/2006/picture">
            <wp:extent cx="7200000" cy="405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ackage-l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报价包列表 按工作表分类并支持勾选</w:t>
      </w:r>
    </w:p>
    <w:p>
      <w:r>
        <w:br w:type="page"/>
      </w:r>
    </w:p>
    <w:p>
      <w:pPr>
        <w:pStyle w:val="Heading1"/>
      </w:pPr>
      <w:r>
        <w:t>5 批量选择多个报价包</w:t>
      </w:r>
    </w:p>
    <w:p>
      <w:pPr>
        <w:spacing w:after="120"/>
      </w:pPr>
      <w:r>
        <w:t>同一批报价包如果要走同一环节，可以一次选中多个一起处理，不必逐个进入。</w:t>
      </w:r>
    </w:p>
    <w:p>
      <w:pPr>
        <w:spacing w:after="120"/>
      </w:pPr>
      <w:r>
        <w:t>在包列表勾选左侧复选框，页面底部出现选择栏，显示“已选择 N 个报价包”“涉及 M 个类别”，以及所选包当前统一处于哪个环节。</w:t>
      </w:r>
    </w:p>
    <w:p>
      <w:pPr>
        <w:spacing w:after="120"/>
      </w:pPr>
      <w:r>
        <w:t>能否批量，取决于三个条件：所选包都没有归档；你对每一个包都是当前环节的负责人；所有包的下一步待办属于同一环节。任一条件不满足，选择栏会用红字给出原因，例如“XX 属于不同处理环节”或“核价负责人：财务 · 张会计”。此时“批量进入”保持禁用。</w:t>
      </w:r>
    </w:p>
    <w:p>
      <w:pPr>
        <w:spacing w:after="120"/>
      </w:pPr>
      <w:r>
        <w:t>点击“批量进入（N）”后，页面顶部显示“本次处理 N 个报价包 · M 个类别”，七步流程条上每一步都带“（已完成/总数）”计数。此时的处理作用范围是所选的全部包，页面上任何筛选只影响列表展示，不改变处理范围。</w:t>
      </w:r>
    </w:p>
    <w:p>
      <w:pPr>
        <w:spacing w:after="120"/>
      </w:pPr>
      <w:r>
        <w:t>批量页可以完成资料解析、销售确认、技术确认，以及汇总查看 BOM、成本核算和报价。注意各包的税率、成本、审批进度和报价版本仍然分别保存、互不覆盖——批量只是省去重复点击，不会把多个包合并成一个。</w:t>
      </w:r>
    </w:p>
    <w:p>
      <w:pPr>
        <w:spacing w:after="120"/>
      </w:pPr>
      <w:r>
        <w:t>任务处理完或需要退回单包视图时，返回报价包列表点击“清空选择”即可退出批量范围。</w:t>
      </w:r>
    </w:p>
    <w:p>
      <w:r>
        <w:drawing>
          <wp:inline xmlns:a="http://schemas.openxmlformats.org/drawingml/2006/main" xmlns:pic="http://schemas.openxmlformats.org/drawingml/2006/picture">
            <wp:extent cx="7200000" cy="405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batch-selec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批量选择两个报价包 底部选择栏显示类别与统一环节</w:t>
      </w:r>
    </w:p>
    <w:p>
      <w:r>
        <w:br w:type="page"/>
      </w:r>
    </w:p>
    <w:p>
      <w:pPr>
        <w:pStyle w:val="Heading1"/>
      </w:pPr>
      <w:r>
        <w:t>6 为本包载入演示技术资料</w:t>
      </w:r>
    </w:p>
    <w:p>
      <w:pPr>
        <w:spacing w:after="120"/>
      </w:pPr>
      <w:r>
        <w:t>保持为本包指定的销售人员，在“资料解析”点击“载入演示资料”。项目物料清单已在创建时自动带入，本步骤用于追加该包的技术规范书。</w:t>
      </w:r>
    </w:p>
    <w:p>
      <w:pPr>
        <w:spacing w:after="120"/>
      </w:pPr>
      <w:r>
        <w:t>系统按包名称载入对应技术规范书目录中的文件。已载入的文件不会重复追加。</w:t>
      </w:r>
    </w:p>
    <w:p>
      <w:pPr>
        <w:spacing w:after="120"/>
      </w:pPr>
      <w:r>
        <w:t>本说明按内置演示资料引导操作。当前解析流程及后续货物项使用预置样例展示，不代表这些文件已被真实模型逐份识别。</w:t>
      </w:r>
    </w:p>
    <w:p>
      <w:r>
        <w:drawing>
          <wp:inline xmlns:a="http://schemas.openxmlformats.org/drawingml/2006/main" xmlns:pic="http://schemas.openxmlformats.org/drawingml/2006/picture">
            <wp:extent cx="7200000" cy="405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load-material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资料清单 保留物料清单并追加本包技术资料</w:t>
      </w:r>
    </w:p>
    <w:p>
      <w:r>
        <w:br w:type="page"/>
      </w:r>
    </w:p>
    <w:p>
      <w:pPr>
        <w:pStyle w:val="Heading1"/>
      </w:pPr>
      <w:r>
        <w:t>7 确认资料并启动解析</w:t>
      </w:r>
    </w:p>
    <w:p>
      <w:pPr>
        <w:spacing w:after="120"/>
      </w:pPr>
      <w:r>
        <w:t>核对资料清单后，点击“开始解析”。在弹窗中检查报价包名称及资料数量，再点击“确认开始解析”。</w:t>
      </w:r>
    </w:p>
    <w:p>
      <w:pPr>
        <w:spacing w:after="120"/>
      </w:pPr>
      <w:r>
        <w:t>解析过程中请留在当前页面；如需中止，可点击“取消解析”，之后重新发起。</w:t>
      </w:r>
    </w:p>
    <w:p>
      <w:r>
        <w:drawing>
          <wp:inline xmlns:a="http://schemas.openxmlformats.org/drawingml/2006/main" xmlns:pic="http://schemas.openxmlformats.org/drawingml/2006/picture">
            <wp:extent cx="7200000" cy="405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arse-confir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开始解析前的确认弹窗</w:t>
      </w:r>
    </w:p>
    <w:p>
      <w:r>
        <w:br w:type="page"/>
      </w:r>
    </w:p>
    <w:p>
      <w:pPr>
        <w:pStyle w:val="Heading1"/>
      </w:pPr>
      <w:r>
        <w:t>8 查看解析进度和完成结果</w:t>
      </w:r>
    </w:p>
    <w:p>
      <w:pPr>
        <w:spacing w:after="120"/>
      </w:pPr>
      <w:r>
        <w:t>右侧依次展示资料上传、文档转换、质量检查、结构化解析、风险识别和生成待确认参数六个演示阶段；左侧显示各文件的等待、解析中或已完成状态。</w:t>
      </w:r>
    </w:p>
    <w:p>
      <w:pPr>
        <w:spacing w:after="120"/>
      </w:pPr>
      <w:r>
        <w:t>长文件名会在卡片内省略显示；窗口较矮时可滚动右侧详情区域。解析完成后，右下角“进入需求确认”变为可点击。</w:t>
      </w:r>
    </w:p>
    <w:p>
      <w:pPr>
        <w:spacing w:after="120"/>
      </w:pPr>
      <w:r>
        <w:t>查看资料清单中的过程记录与重新解析是两项不同操作。需要重新生成本轮结果时，请按下一节返回资料解析并点击“重新解析”。</w:t>
      </w:r>
    </w:p>
    <w:p>
      <w:r>
        <w:drawing>
          <wp:inline xmlns:a="http://schemas.openxmlformats.org/drawingml/2006/main" xmlns:pic="http://schemas.openxmlformats.org/drawingml/2006/picture">
            <wp:extent cx="7200000" cy="405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arse-runn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浅蓝色解析进度卡片与逐文件状态</w:t>
      </w:r>
    </w:p>
    <w:p>
      <w:r>
        <w:br w:type="page"/>
      </w:r>
    </w:p>
    <w:p>
      <w:pPr>
        <w:pStyle w:val="Heading1"/>
      </w:pPr>
      <w:r>
        <w:t>9 返回资料解析页面重新解析</w:t>
      </w:r>
    </w:p>
    <w:p>
      <w:pPr>
        <w:spacing w:after="120"/>
      </w:pPr>
      <w:r>
        <w:t>在资料整理或销售与技术确认阶段，切换到本包指定销售人员，点击左侧“资料解析”，再点击“重新解析”。</w:t>
      </w:r>
    </w:p>
    <w:p>
      <w:pPr>
        <w:spacing w:after="120"/>
      </w:pPr>
      <w:r>
        <w:t>阅读影响提示后点击“确认开始解析”。重新解析会重建演示货物项，覆盖本轮货物项修改，清除当前版本销售和技术确认以及技术指派结果；原资料清单和历史记录保留。</w:t>
      </w:r>
    </w:p>
    <w:p>
      <w:pPr>
        <w:spacing w:after="120"/>
      </w:pPr>
      <w:r>
        <w:t>完成后需要重新核对及确认。若包已进入核价或后续流程，需先按业务流程退回可修改阶段；已签发报价的变更可使用“创建报价新版本”。</w:t>
      </w:r>
    </w:p>
    <w:p>
      <w:r>
        <w:drawing>
          <wp:inline xmlns:a="http://schemas.openxmlformats.org/drawingml/2006/main" xmlns:pic="http://schemas.openxmlformats.org/drawingml/2006/picture">
            <wp:extent cx="7200000" cy="405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repars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重新解析前说明将覆盖的修改与确认结果</w:t>
      </w:r>
    </w:p>
    <w:p>
      <w:r>
        <w:br w:type="page"/>
      </w:r>
    </w:p>
    <w:p>
      <w:pPr>
        <w:pStyle w:val="Heading1"/>
      </w:pPr>
      <w:r>
        <w:t>10 销售核对需求与本次报价范围</w:t>
      </w:r>
    </w:p>
    <w:p>
      <w:pPr>
        <w:spacing w:after="120"/>
      </w:pPr>
      <w:r>
        <w:t>切换为本包指定销售人员，进入“销售需求确认”。核对货物名称、数量、单位及本次报价范围，可用“全部”“已解决”“待解决”筛选。</w:t>
      </w:r>
    </w:p>
    <w:p>
      <w:pPr>
        <w:spacing w:after="120"/>
      </w:pPr>
      <w:r>
        <w:t>如果刚完成批量进入，页面会说明本次确认范围是全部所选报价包，并提供“类别”“报价包”两个筛选器，以及货物名称/型号/编号搜索。筛选只影响列表展示，不影响确认范围。</w:t>
      </w:r>
    </w:p>
    <w:p>
      <w:pPr>
        <w:spacing w:after="120"/>
      </w:pPr>
      <w:r>
        <w:t>销售无需补齐全部技术参数，也不要求处理完所有技术问题。串型、子件及技术缺项由技术人员继续核对；销售确认前应保证纳入报价的货物名称、有效数量和单位正确。</w:t>
      </w:r>
    </w:p>
    <w:p>
      <w:pPr>
        <w:spacing w:after="120"/>
      </w:pPr>
      <w:r>
        <w:t>宽表格可横向滚动查看状态与操作列。页面对每个货物项生成演示条目用于体验，不等同于包内物料清单的真实明细。</w:t>
      </w:r>
    </w:p>
    <w:p>
      <w:r>
        <w:drawing>
          <wp:inline xmlns:a="http://schemas.openxmlformats.org/drawingml/2006/main" xmlns:pic="http://schemas.openxmlformats.org/drawingml/2006/picture">
            <wp:extent cx="7200000" cy="405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sales-confirm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销售确认页的提示与货物项列表</w:t>
      </w:r>
    </w:p>
    <w:p>
      <w:r>
        <w:br w:type="page"/>
      </w:r>
    </w:p>
    <w:p>
      <w:pPr>
        <w:pStyle w:val="Heading1"/>
      </w:pPr>
      <w:r>
        <w:t>11 对照来源核对和修改需求</w:t>
      </w:r>
    </w:p>
    <w:p>
      <w:pPr>
        <w:spacing w:after="120"/>
      </w:pPr>
      <w:r>
        <w:t>操作对象：包1 · 货物项01 · 边相笼式刚性100kN带绝缘子串750kV导线跳线串</w:t>
      </w:r>
    </w:p>
    <w:p>
      <w:pPr>
        <w:spacing w:after="120"/>
      </w:pPr>
      <w:r>
        <w:t>进入路径：销售需求确认 → 货物项01 → 去确认</w:t>
      </w:r>
    </w:p>
    <w:p>
      <w:pPr>
        <w:spacing w:after="120"/>
      </w:pPr>
      <w:r>
        <w:t>在货物项行点击“去确认”或“查看”，打开“解析信息与来源”。左侧查看来源截图，点击图片可放大；右侧核对货物名称、数量、单位、导线条件及清单字段。</w:t>
      </w:r>
    </w:p>
    <w:p>
      <w:pPr>
        <w:spacing w:after="120"/>
      </w:pPr>
      <w:r>
        <w:t>需要修改时填写“修改原因与依据”，再点击“保存核对信息”；无须修改则点击“关闭”。保存会记录修改前后差异，相关确认可能需要重新完成。</w:t>
      </w:r>
    </w:p>
    <w:p>
      <w:pPr>
        <w:spacing w:after="120"/>
      </w:pPr>
      <w:r>
        <w:t>这里展示的是预置演示清单的来源截图，来源文件名和行号以面板显示为准；它不是当前载入文件的实时识别证据。</w:t>
      </w:r>
    </w:p>
    <w:p>
      <w:r>
        <w:drawing>
          <wp:inline xmlns:a="http://schemas.openxmlformats.org/drawingml/2006/main" xmlns:pic="http://schemas.openxmlformats.org/drawingml/2006/picture">
            <wp:extent cx="7200000" cy="405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sales-sour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销售核对信息与来源截图并列显示</w:t>
      </w:r>
    </w:p>
    <w:p>
      <w:r>
        <w:br w:type="page"/>
      </w:r>
    </w:p>
    <w:p>
      <w:pPr>
        <w:pStyle w:val="Heading1"/>
      </w:pPr>
      <w:r>
        <w:t>12 完成销售确认并交给技术</w:t>
      </w:r>
    </w:p>
    <w:p>
      <w:pPr>
        <w:spacing w:after="120"/>
      </w:pPr>
      <w:r>
        <w:t>完成客户需求与报价范围核对后，点击页面下方“确认需求与范围”。批量模式下按钮显示为“确认全部所选包需求（N个包）”。</w:t>
      </w:r>
    </w:p>
    <w:p>
      <w:pPr>
        <w:spacing w:after="120"/>
      </w:pPr>
      <w:r>
        <w:t>销售确认成功后，技术阶段可以继续处理，即使列表仍有技术缺项。“导出Excel”按当前筛选导出货物项，便于线下复核；它与后续“下载报价单Excel”用途不同。</w:t>
      </w:r>
    </w:p>
    <w:p>
      <w:pPr>
        <w:spacing w:after="120"/>
      </w:pPr>
      <w:r>
        <w:t>若确认按钮不可用，请依次检查：是否为该包指定销售、是否处于可确认阶段、货物名称数量单位是否齐全。</w:t>
      </w:r>
    </w:p>
    <w:p>
      <w:r>
        <w:drawing>
          <wp:inline xmlns:a="http://schemas.openxmlformats.org/drawingml/2006/main" xmlns:pic="http://schemas.openxmlformats.org/drawingml/2006/picture">
            <wp:extent cx="7200000" cy="405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sales-confir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页面下方的确认需求与范围入口</w:t>
      </w:r>
    </w:p>
    <w:p>
      <w:r>
        <w:br w:type="page"/>
      </w:r>
    </w:p>
    <w:p>
      <w:pPr>
        <w:pStyle w:val="Heading1"/>
      </w:pPr>
      <w:r>
        <w:t>13 进入技术选项确认</w:t>
      </w:r>
    </w:p>
    <w:p>
      <w:pPr>
        <w:spacing w:after="120"/>
      </w:pPr>
      <w:r>
        <w:t>操作对象：包1 · 全部货物项，先查看01至03的技术缺项</w:t>
      </w:r>
    </w:p>
    <w:p>
      <w:pPr>
        <w:spacing w:after="120"/>
      </w:pPr>
      <w:r>
        <w:t>进入路径：技术角色 → 选择技术总监 → 项目台账 → 进入 → 技术选项确认</w:t>
      </w:r>
    </w:p>
    <w:p>
      <w:pPr>
        <w:spacing w:after="120"/>
      </w:pPr>
      <w:r>
        <w:t>切换为“技术”，并在当前人员中选择本包的技术总监，例如“技术 · 李总监”。仅切换技术角色而仍为普通员工，可能提示无权处理。</w:t>
      </w:r>
    </w:p>
    <w:p>
      <w:pPr>
        <w:spacing w:after="120"/>
      </w:pPr>
      <w:r>
        <w:t>一个常见的死路：项目技术负责人是“李总监”，而默认技术账号是“李工”，此时项目台账会显示“当前工作表下暂无可见报价包”，看起来像没有数据。这不是数据丢失，而是系统按技术负责人过滤。切换到李总监即可看到。</w:t>
      </w:r>
    </w:p>
    <w:p>
      <w:pPr>
        <w:spacing w:after="120"/>
      </w:pPr>
      <w:r>
        <w:t>技术需要处理全部纳入报价的串型信息和子件信息。查看“核验状态”，分别通过“去确认”和“查看子件”处理缺项；技术确认的完整性要求高于销售确认。</w:t>
      </w:r>
    </w:p>
    <w:p>
      <w:r>
        <w:drawing>
          <wp:inline xmlns:a="http://schemas.openxmlformats.org/drawingml/2006/main" xmlns:pic="http://schemas.openxmlformats.org/drawingml/2006/picture">
            <wp:extent cx="7200000" cy="405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technical-lis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技术确认列表同时提供串信息和子件入口</w:t>
      </w:r>
    </w:p>
    <w:p>
      <w:r>
        <w:br w:type="page"/>
      </w:r>
    </w:p>
    <w:p>
      <w:pPr>
        <w:pStyle w:val="Heading1"/>
      </w:pPr>
      <w:r>
        <w:t>14 核对串型信息并保存</w:t>
      </w:r>
    </w:p>
    <w:p>
      <w:pPr>
        <w:spacing w:after="120"/>
      </w:pPr>
      <w:r>
        <w:t>操作对象：包1 · 货物项01 · 边相笼式刚性100kN带绝缘子串750kV导线跳线串</w:t>
      </w:r>
    </w:p>
    <w:p>
      <w:pPr>
        <w:spacing w:after="120"/>
      </w:pPr>
      <w:r>
        <w:t>进入路径：技术选项确认 → 货物项01 → 去确认 → 修改串信息</w:t>
      </w:r>
    </w:p>
    <w:p>
      <w:pPr>
        <w:spacing w:after="120"/>
      </w:pPr>
      <w:r>
        <w:t>点击货物项的“去确认”，对照来源资料核对串型号、电压等级和适用导线。修改时填写原因，点击“保存串信息”。</w:t>
      </w:r>
    </w:p>
    <w:p>
      <w:pPr>
        <w:spacing w:after="120"/>
      </w:pPr>
      <w:r>
        <w:t>演示货物项01缺少串型号，可在演示环境填入“跳线串（按技术规范编码匹配）”，并填写按技术规范编码核对的说明，以体验缺项补充。此文字仅为操作示例，正式型号应以技术资料确认值为准。</w:t>
      </w:r>
    </w:p>
    <w:p>
      <w:pPr>
        <w:spacing w:after="120"/>
      </w:pPr>
      <w:r>
        <w:t>面板底部还有一个“指派”按钮，用于把这条串尚未补齐的字段转给其他技术人员的待确认清单。它是字段级指派，与第21节的整包指派不同。</w:t>
      </w:r>
    </w:p>
    <w:p>
      <w:r>
        <w:drawing>
          <wp:inline xmlns:a="http://schemas.openxmlformats.org/drawingml/2006/main" xmlns:pic="http://schemas.openxmlformats.org/drawingml/2006/picture">
            <wp:extent cx="7200000" cy="405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chain-sourc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串信息核对 来源图片与可修改参数</w:t>
      </w:r>
    </w:p>
    <w:p>
      <w:r>
        <w:br w:type="page"/>
      </w:r>
    </w:p>
    <w:p>
      <w:pPr>
        <w:pStyle w:val="Heading1"/>
      </w:pPr>
      <w:r>
        <w:t>15 选择匹配的候选串</w:t>
      </w:r>
    </w:p>
    <w:p>
      <w:pPr>
        <w:spacing w:after="120"/>
      </w:pPr>
      <w:r>
        <w:t>操作对象：包1 · 货物项02 · 66kV导线悬垂通用 · 清单原串型号06XZ11-4000-10P(H)-2A护</w:t>
      </w:r>
    </w:p>
    <w:p>
      <w:pPr>
        <w:spacing w:after="120"/>
      </w:pPr>
      <w:r>
        <w:t>进入路径：技术选项确认 → 货物项02 → 去确认 → 选择候选串</w:t>
      </w:r>
    </w:p>
    <w:p>
      <w:pPr>
        <w:spacing w:after="120"/>
      </w:pPr>
      <w:r>
        <w:t>出现多个候选时，在“选择候选串”中核对电压、导线和型号；可点击“查看候选对比”后选择。候选只进入草稿，填写修改依据并点击“保存串信息”后才生效。</w:t>
      </w:r>
    </w:p>
    <w:p>
      <w:pPr>
        <w:spacing w:after="120"/>
      </w:pPr>
      <w:r>
        <w:t>演示货物项02可选择“06XZ11-4000-10P(H)-1A护 · 240/30 · 6项子件”，查看适用导线等参数自动带出，再保存。该例用于体验按条件重新选型，不是对客户真实需求的技术判定。</w:t>
      </w:r>
    </w:p>
    <w:p>
      <w:pPr>
        <w:spacing w:after="120"/>
      </w:pPr>
      <w:r>
        <w:t>如果提示当前匹配串与电压或导线不一致，请重新核对并选择；不要仅为推进流程忽略差异。</w:t>
      </w:r>
    </w:p>
    <w:p>
      <w:r>
        <w:drawing>
          <wp:inline xmlns:a="http://schemas.openxmlformats.org/drawingml/2006/main" xmlns:pic="http://schemas.openxmlformats.org/drawingml/2006/picture">
            <wp:extent cx="7200000" cy="405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chain-candidat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候选串与不一致提醒</w:t>
      </w:r>
    </w:p>
    <w:p>
      <w:r>
        <w:br w:type="page"/>
      </w:r>
    </w:p>
    <w:p>
      <w:pPr>
        <w:pStyle w:val="Heading1"/>
      </w:pPr>
      <w:r>
        <w:t>16 查看子件并定位缺失字段</w:t>
      </w:r>
    </w:p>
    <w:p>
      <w:pPr>
        <w:spacing w:after="120"/>
      </w:pPr>
      <w:r>
        <w:t>操作对象：包1 · 货物项01 · 750kV导线跳线串，查看其子件清单</w:t>
      </w:r>
    </w:p>
    <w:p>
      <w:pPr>
        <w:spacing w:after="120"/>
      </w:pPr>
      <w:r>
        <w:t>进入路径：技术选项确认 → 货物项01 → 查看子件</w:t>
      </w:r>
    </w:p>
    <w:p>
      <w:pPr>
        <w:spacing w:after="120"/>
      </w:pPr>
      <w:r>
        <w:t>返回技术列表，点击对应货物项的“查看子件”。核对名称、型号、每套用量、材质、U9料号及图号；优先处理显示“缺少信息”的行。</w:t>
      </w:r>
    </w:p>
    <w:p>
      <w:pPr>
        <w:spacing w:after="120"/>
      </w:pPr>
      <w:r>
        <w:t>点击子件行的“编辑”查看来源并补充。U9料号在部分普通子件中允许选填，但型号、用量、材质、图号及候选选型等仍需按页面要求完整；保存后技术确认需要复核。</w:t>
      </w:r>
    </w:p>
    <w:p>
      <w:r>
        <w:drawing>
          <wp:inline xmlns:a="http://schemas.openxmlformats.org/drawingml/2006/main" xmlns:pic="http://schemas.openxmlformats.org/drawingml/2006/picture">
            <wp:extent cx="7200000" cy="405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parts-lis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子件明细及逐行编辑入口</w:t>
      </w:r>
    </w:p>
    <w:p>
      <w:r>
        <w:br w:type="page"/>
      </w:r>
    </w:p>
    <w:p>
      <w:pPr>
        <w:pStyle w:val="Heading1"/>
      </w:pPr>
      <w:r>
        <w:t>17 补充普通子件信息</w:t>
      </w:r>
    </w:p>
    <w:p>
      <w:pPr>
        <w:spacing w:after="120"/>
      </w:pPr>
      <w:r>
        <w:t>操作对象：包1 · 货物项01 · 750kV导线跳线串 · 子件跳线间隔棒FJGY-630/28CZ</w:t>
      </w:r>
    </w:p>
    <w:p>
      <w:pPr>
        <w:spacing w:after="120"/>
      </w:pPr>
      <w:r>
        <w:t>进入路径：技术选项确认 → 货物项01 → 查看子件 → FJGY-630/28CZ行 → 编辑</w:t>
      </w:r>
    </w:p>
    <w:p>
      <w:pPr>
        <w:spacing w:after="120"/>
      </w:pPr>
      <w:r>
        <w:t>在编辑窗口左侧查看来源图片，右侧填写缺失字段。填写“修改原因与依据”后点击“保存子件”，回到清单检查状态是否变为已解决。</w:t>
      </w:r>
    </w:p>
    <w:p>
      <w:pPr>
        <w:spacing w:after="120"/>
      </w:pPr>
      <w:r>
        <w:t>演示货物项01的FJGY-630/28CZ跳线间隔棒缺少材质，可在演示环境填写“ZL102”体验补录，并写明演示核对依据。正式项目请使用经技术核验的材质，不直接沿用演示输入值。</w:t>
      </w:r>
    </w:p>
    <w:p>
      <w:r>
        <w:drawing>
          <wp:inline xmlns:a="http://schemas.openxmlformats.org/drawingml/2006/main" xmlns:pic="http://schemas.openxmlformats.org/drawingml/2006/picture">
            <wp:extent cx="7200000" cy="405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part-edi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普通子件来源及缺失材质补录</w:t>
      </w:r>
    </w:p>
    <w:p>
      <w:r>
        <w:br w:type="page"/>
      </w:r>
    </w:p>
    <w:p>
      <w:pPr>
        <w:pStyle w:val="Heading1"/>
      </w:pPr>
      <w:r>
        <w:t>18 无料号子件选择近似参考</w:t>
      </w:r>
    </w:p>
    <w:p>
      <w:pPr>
        <w:spacing w:after="120"/>
      </w:pPr>
      <w:r>
        <w:t>操作对象：包1 · 货物项03 · 7X2-4055-21H串 · 子件均压屏蔽环FJD-80/1350/H</w:t>
      </w:r>
    </w:p>
    <w:p>
      <w:pPr>
        <w:spacing w:after="120"/>
      </w:pPr>
      <w:r>
        <w:t>进入路径：技术选项确认 → 货物项03 → 查看子件 → 来源行69907 → 编辑 → 参考子件</w:t>
      </w:r>
    </w:p>
    <w:p>
      <w:pPr>
        <w:spacing w:after="120"/>
      </w:pPr>
      <w:r>
        <w:t>在技术确认阶段，打开演示货物项03的“查看子件”，找到均压屏蔽环FJD-80/1350/H（来源行69907），点击“编辑”。保留该子件自身型号、用量、材质和图号，U9料号留空。</w:t>
      </w:r>
    </w:p>
    <w:p>
      <w:pPr>
        <w:spacing w:after="120"/>
      </w:pPr>
      <w:r>
        <w:t>右侧出现“参考子件”区域后，在“搜索参考子件”输入“均压”或“FJY 760”。从同计价单位的候选中选择均压屏蔽环FJY-80/760/340，核对型号、材质、参考料号和来源。搜索不到时更换关键词；页面只展示前8条候选。</w:t>
      </w:r>
    </w:p>
    <w:p>
      <w:pPr>
        <w:spacing w:after="120"/>
      </w:pPr>
      <w:r>
        <w:t>填写修改原因与依据，例如“当前子件暂无料号，核对后参考FJY-80/760/340计算成本”，点击“保存子件”。完成其他技术缺项，再由技术员工提交并经总监确认，或由总监直接确认，随后进入财务核价。</w:t>
      </w:r>
    </w:p>
    <w:p>
      <w:pPr>
        <w:spacing w:after="120"/>
      </w:pPr>
      <w:r>
        <w:t>预期结果：保存的是近似子件的参考关系，不会把参考件料号写成当前子件正式料号。当前子件的型号和用量保持不变。若填写了自有U9料号，“参考子件”区域不再显示，核价优先使用自有料号对应依据。</w:t>
      </w:r>
    </w:p>
    <w:p>
      <w:pPr>
        <w:spacing w:after="120"/>
      </w:pPr>
      <w:r>
        <w:t>参考子件为选填。没有合适候选时，可保留料号和参考关系为空；这不会单独阻止技术确认，但财务需要填写本次核算成本。其他必填技术字段仍应补齐。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cantSplit/>
          <w:tblHeader/>
        </w:trPr>
        <w:tc>
          <w:tcPr>
            <w:tcW w:type="dxa" w:w="75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2F6F9"/>
          </w:tcPr>
          <w:p>
            <w:pPr>
              <w:spacing w:before="20" w:after="20"/>
            </w:pPr>
            <w:r>
              <w:rPr>
                <w:b/>
                <w:sz w:val="18"/>
              </w:rPr>
              <w:t>测试动作</w:t>
            </w:r>
          </w:p>
        </w:tc>
        <w:tc>
          <w:tcPr>
            <w:tcW w:type="dxa" w:w="75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2F6F9"/>
          </w:tcPr>
          <w:p>
            <w:pPr>
              <w:spacing w:before="20" w:after="20"/>
            </w:pPr>
            <w:r>
              <w:rPr>
                <w:b/>
                <w:sz w:val="18"/>
              </w:rPr>
              <w:t>应看到的结果</w:t>
            </w:r>
          </w:p>
        </w:tc>
      </w:tr>
      <w:tr>
        <w:trPr>
          <w:cantSplit/>
        </w:trPr>
        <w:tc>
          <w:tcPr>
            <w:tcW w:type="dxa" w:w="75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8"/>
              </w:rPr>
              <w:t>当前子件U9料号为空</w:t>
            </w:r>
          </w:p>
        </w:tc>
        <w:tc>
          <w:tcPr>
            <w:tcW w:type="dxa" w:w="75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8"/>
              </w:rPr>
              <w:t>出现“参考子件”搜索与候选区域</w:t>
            </w:r>
          </w:p>
        </w:tc>
      </w:tr>
      <w:tr>
        <w:trPr>
          <w:cantSplit/>
        </w:trPr>
        <w:tc>
          <w:tcPr>
            <w:tcW w:type="dxa" w:w="75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8"/>
              </w:rPr>
              <w:t>搜索并选择近似件</w:t>
            </w:r>
          </w:p>
        </w:tc>
        <w:tc>
          <w:tcPr>
            <w:tcW w:type="dxa" w:w="75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8"/>
              </w:rPr>
              <w:t>显示已选择的名称型号及参考来源</w:t>
            </w:r>
          </w:p>
        </w:tc>
      </w:tr>
      <w:tr>
        <w:trPr>
          <w:cantSplit/>
        </w:trPr>
        <w:tc>
          <w:tcPr>
            <w:tcW w:type="dxa" w:w="75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8"/>
              </w:rPr>
              <w:t>保存子件并完成总监确认</w:t>
            </w:r>
          </w:p>
        </w:tc>
        <w:tc>
          <w:tcPr>
            <w:tcW w:type="dxa" w:w="75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8"/>
              </w:rPr>
              <w:t>财务可按参考依据带出核算单价</w:t>
            </w:r>
          </w:p>
        </w:tc>
      </w:tr>
      <w:tr>
        <w:trPr>
          <w:cantSplit/>
        </w:trPr>
        <w:tc>
          <w:tcPr>
            <w:tcW w:type="dxa" w:w="75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8"/>
              </w:rPr>
              <w:t>不选择参考且无自有料号</w:t>
            </w:r>
          </w:p>
        </w:tc>
        <w:tc>
          <w:tcPr>
            <w:tcW w:type="dxa" w:w="75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8"/>
              </w:rPr>
              <w:t>技术仍可按其他完整性条件确认，财务需补价</w:t>
            </w:r>
          </w:p>
        </w:tc>
      </w:tr>
    </w:tbl>
    <w:p/>
    <w:p>
      <w:r>
        <w:br w:type="page"/>
      </w:r>
    </w:p>
    <w:p>
      <w:pPr>
        <w:pStyle w:val="Heading1"/>
      </w:pPr>
      <w:r>
        <w:t>19 处理同规格多料号候选</w:t>
      </w:r>
    </w:p>
    <w:p>
      <w:pPr>
        <w:spacing w:after="120"/>
      </w:pPr>
      <w:r>
        <w:t>操作对象：包1 · 货物项01 · 750kV导线跳线串 · 子件C型线夹JC-1，绝缘黑色版本</w:t>
      </w:r>
    </w:p>
    <w:p>
      <w:pPr>
        <w:spacing w:after="120"/>
      </w:pPr>
      <w:r>
        <w:t>进入路径：技术选项确认 → 货物项01 → 查看子件 → JC-1线夹行 → 编辑 → 料号候选</w:t>
      </w:r>
    </w:p>
    <w:p>
      <w:pPr>
        <w:spacing w:after="120"/>
      </w:pPr>
      <w:r>
        <w:t>演示货物项01的JC-1线夹有两条相同规格、不同螺栓版本的候选。点击其“编辑”，根据档案描述选择不锈钢螺栓或热镀锌螺栓版本，查看对应料号与图号。</w:t>
      </w:r>
    </w:p>
    <w:p>
      <w:pPr>
        <w:spacing w:after="120"/>
      </w:pPr>
      <w:r>
        <w:t>候选档案未单列材质，需要人工核验并填写。为体验操作，可选择第一条候选并填写演示材质“Q235A”、选型依据，然后保存；此输入仅用于流程演示，不构成真实材质要求。</w:t>
      </w:r>
    </w:p>
    <w:p>
      <w:pPr>
        <w:spacing w:after="120"/>
      </w:pPr>
      <w:r>
        <w:t>如“保存子件”仍不可用，检查候选、材质和用量是否已填写，以及当前人员是否具有技术处理权限。</w:t>
      </w:r>
    </w:p>
    <w:p>
      <w:r>
        <w:drawing>
          <wp:inline xmlns:a="http://schemas.openxmlformats.org/drawingml/2006/main" xmlns:pic="http://schemas.openxmlformats.org/drawingml/2006/picture">
            <wp:extent cx="7200000" cy="405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part-candidate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同规格多料号的候选描述与材质输入</w:t>
      </w:r>
    </w:p>
    <w:p>
      <w:r>
        <w:br w:type="page"/>
      </w:r>
    </w:p>
    <w:p>
      <w:pPr>
        <w:pStyle w:val="Heading1"/>
      </w:pPr>
      <w:r>
        <w:t>20 选择导线包缠物型号和材质</w:t>
      </w:r>
    </w:p>
    <w:p>
      <w:pPr>
        <w:spacing w:after="120"/>
      </w:pPr>
      <w:r>
        <w:t>操作对象：包1 · 货物项03 · 750kV导线悬垂通用7X2-4055-21H串 · 子件导线包缠物</w:t>
      </w:r>
    </w:p>
    <w:p>
      <w:pPr>
        <w:spacing w:after="120"/>
      </w:pPr>
      <w:r>
        <w:t>进入路径：技术选项确认 → 货物项03 → 查看子件 → 导线包缠物行 → 编辑</w:t>
      </w:r>
    </w:p>
    <w:p>
      <w:pPr>
        <w:spacing w:after="120"/>
      </w:pPr>
      <w:r>
        <w:t>在演示货物项03查看子件，编辑“导线包缠物”。对照图纸，在铝包带与护线条之间选择型号，再选择L3或LF10材质，核对用量、料号和图号。</w:t>
      </w:r>
    </w:p>
    <w:p>
      <w:pPr>
        <w:spacing w:after="120"/>
      </w:pPr>
      <w:r>
        <w:t>页面有历史推荐时，先核对技术编码、地区、导线及图纸适用条件，再点击“采用推荐”。本例可体验FYH-400/50与LF10组合；填写选型依据后点击“保存子件”。</w:t>
      </w:r>
    </w:p>
    <w:p>
      <w:pPr>
        <w:spacing w:after="120"/>
      </w:pPr>
      <w:r>
        <w:t>选择会联动更新相关线夹。页面标明的材质与料号组合为演示映射，历史推荐仅供本次技术核对参考。</w:t>
      </w:r>
    </w:p>
    <w:p>
      <w:r>
        <w:drawing>
          <wp:inline xmlns:a="http://schemas.openxmlformats.org/drawingml/2006/main" xmlns:pic="http://schemas.openxmlformats.org/drawingml/2006/picture">
            <wp:extent cx="7200000" cy="405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wrap-selectio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包缠物候选与历史推荐的采用入口</w:t>
      </w:r>
    </w:p>
    <w:p>
      <w:r>
        <w:br w:type="page"/>
      </w:r>
    </w:p>
    <w:p>
      <w:pPr>
        <w:pStyle w:val="Heading1"/>
      </w:pPr>
      <w:r>
        <w:t>21 技术总监跨包指派技术任务</w:t>
      </w:r>
    </w:p>
    <w:p>
      <w:pPr>
        <w:spacing w:after="120"/>
      </w:pPr>
      <w:r>
        <w:t>操作对象：本项目多个报价包的技术确认任务</w:t>
      </w:r>
    </w:p>
    <w:p>
      <w:pPr>
        <w:spacing w:after="120"/>
      </w:pPr>
      <w:r>
        <w:t>进入路径：技术总监身份 → 技术选项确认页下方 → 指派</w:t>
      </w:r>
    </w:p>
    <w:p>
      <w:pPr>
        <w:spacing w:after="120"/>
      </w:pPr>
      <w:r>
        <w:t>技术总监可以自行完成全部核对，也可以把任务指派给技术员工，甚至一次指派多个包。</w:t>
      </w:r>
    </w:p>
    <w:p>
      <w:pPr>
        <w:spacing w:after="120"/>
      </w:pPr>
      <w:r>
        <w:t>点击页面下方“指派”，打开“指派技术确认任务”。在“技术处理人”中选择技术员工，或选择“由技术总监自行完成”。下方表格列出本项目各个报价包，含类别、包名称、包号、当前处理人，可逐行勾选或用“全选”。</w:t>
      </w:r>
    </w:p>
    <w:p>
      <w:pPr>
        <w:spacing w:after="120"/>
      </w:pPr>
      <w:r>
        <w:t>表格中已完成技术确认或当前不可指派的包，复选框为禁用状态。底部显示“本次指派：N 个包 · M 条货物项”，确认后点击“确认指派（N个包）”。已经指派过的按钮会变为“重新指派”。</w:t>
      </w:r>
    </w:p>
    <w:p>
      <w:pPr>
        <w:spacing w:after="120"/>
      </w:pPr>
      <w:r>
        <w:t>员工接到任务后，切换到技术角色及该员工身份，进入对应包完成串型与子件缺项处理。指派是协助处理任务，最终确认责任仍由技术总监承担。</w:t>
      </w:r>
    </w:p>
    <w:p>
      <w:r>
        <w:drawing>
          <wp:inline xmlns:a="http://schemas.openxmlformats.org/drawingml/2006/main" xmlns:pic="http://schemas.openxmlformats.org/drawingml/2006/picture">
            <wp:extent cx="7200000" cy="405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technical-assignmen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跨包指派技术确认任务 可选员工或由总监自行完成</w:t>
      </w:r>
    </w:p>
    <w:p>
      <w:r>
        <w:br w:type="page"/>
      </w:r>
    </w:p>
    <w:p>
      <w:pPr>
        <w:pStyle w:val="Heading1"/>
      </w:pPr>
      <w:r>
        <w:t>22 员工提交与总监最终确认</w:t>
      </w:r>
    </w:p>
    <w:p>
      <w:pPr>
        <w:spacing w:after="120"/>
      </w:pPr>
      <w:r>
        <w:t>操作对象：包1整包技术任务，提交前核对全部纳入报价的货物项</w:t>
      </w:r>
    </w:p>
    <w:p>
      <w:pPr>
        <w:spacing w:after="120"/>
      </w:pPr>
      <w:r>
        <w:t>进入路径：被指派员工 → 提交总监确认；再切换技术总监 → 总监确认</w:t>
      </w:r>
    </w:p>
    <w:p>
      <w:pPr>
        <w:spacing w:after="120"/>
      </w:pPr>
      <w:r>
        <w:t>员工完成全部缺项后点击“提交总监确认”。若按钮不可用，返回串信息和子件清单处理剩余缺项；提交后等待总监复核。</w:t>
      </w:r>
    </w:p>
    <w:p>
      <w:pPr>
        <w:spacing w:after="120"/>
      </w:pPr>
      <w:r>
        <w:t>切换回技术总监，查看提交状态及修改摘要。需要返工时点击“驳回到技术人员”并填写原因；认可后点击“总监确认”。总监自行处理的路径也通过“总监确认”完成。</w:t>
      </w:r>
    </w:p>
    <w:p>
      <w:pPr>
        <w:spacing w:after="120"/>
      </w:pPr>
      <w:r>
        <w:t>批量模式下，按钮会显示“（全部N个包）”。系统会提示本次共有几个包已指派员工、几个已提交、其余由总监处理，未提交的包会阻止总监一次性确认。</w:t>
      </w:r>
    </w:p>
    <w:p>
      <w:pPr>
        <w:spacing w:after="120"/>
      </w:pPr>
      <w:r>
        <w:t>确认完成后，本包进入成本核算阶段，BOM与演示U9价格自动带出。</w:t>
      </w:r>
    </w:p>
    <w:p>
      <w:r>
        <w:drawing>
          <wp:inline xmlns:a="http://schemas.openxmlformats.org/drawingml/2006/main" xmlns:pic="http://schemas.openxmlformats.org/drawingml/2006/picture">
            <wp:extent cx="7200000" cy="405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employee-submitte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员工提交后的等待总监确认状态</w:t>
      </w:r>
    </w:p>
    <w:p>
      <w:r>
        <w:br w:type="page"/>
      </w:r>
    </w:p>
    <w:p>
      <w:pPr>
        <w:pStyle w:val="Heading1"/>
      </w:pPr>
      <w:r>
        <w:t>23 查看技术确认后的BOM</w:t>
      </w:r>
    </w:p>
    <w:p>
      <w:pPr>
        <w:spacing w:after="120"/>
      </w:pPr>
      <w:r>
        <w:t>操作对象：包1整包BOM，按货物项01至04分别查看</w:t>
      </w:r>
    </w:p>
    <w:p>
      <w:pPr>
        <w:spacing w:after="120"/>
      </w:pPr>
      <w:r>
        <w:t>进入路径：技术总监确认完成 → 技术选项确认页 → 查看BOM</w:t>
      </w:r>
    </w:p>
    <w:p>
      <w:pPr>
        <w:spacing w:after="120"/>
      </w:pPr>
      <w:r>
        <w:t>点击“查看BOM”，检查每个货物项的子件、每套用量、采购数量、总用量、料号和工艺路线。确认数量关系及子件结果后，点击“关闭子件明细”返回。</w:t>
      </w:r>
    </w:p>
    <w:p>
      <w:pPr>
        <w:spacing w:after="120"/>
      </w:pPr>
      <w:r>
        <w:t>批量模式下，BOM 面板按包分段展示，每段带类别、包名称、包号和当前阶段，便于横向比对多个包。</w:t>
      </w:r>
    </w:p>
    <w:p>
      <w:pPr>
        <w:spacing w:after="120"/>
      </w:pPr>
      <w:r>
        <w:t>BOM用于核对技术与成本依据；本说明中的库价、历史价、DEMO料号及图号均为原型演示信息，正式业务数据需另行核验。</w:t>
      </w:r>
    </w:p>
    <w:p>
      <w:r>
        <w:drawing>
          <wp:inline xmlns:a="http://schemas.openxmlformats.org/drawingml/2006/main" xmlns:pic="http://schemas.openxmlformats.org/drawingml/2006/picture">
            <wp:extent cx="7200000" cy="405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bom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BOM的用量汇总与子件信息</w:t>
      </w:r>
    </w:p>
    <w:p>
      <w:r>
        <w:br w:type="page"/>
      </w:r>
    </w:p>
    <w:p>
      <w:pPr>
        <w:pStyle w:val="Heading1"/>
      </w:pPr>
      <w:r>
        <w:t>24 进入成本核算并检查整包汇总</w:t>
      </w:r>
    </w:p>
    <w:p>
      <w:pPr>
        <w:spacing w:after="120"/>
      </w:pPr>
      <w:r>
        <w:t>切换为本包指定财务负责人，点击“成本核算与方案选择”。技术确认完成前不能开始核价。</w:t>
      </w:r>
    </w:p>
    <w:p>
      <w:pPr>
        <w:spacing w:after="120"/>
      </w:pPr>
      <w:r>
        <w:t>页面显示子件成本合计、总毛利率、不含税报价和含税报价。先检查缺少价格的提示；演示时可点击“演示一键补齐价格”填入缺失核算价。</w:t>
      </w:r>
    </w:p>
    <w:p>
      <w:pPr>
        <w:spacing w:after="120"/>
      </w:pPr>
      <w:r>
        <w:t>演示价格只用于体验成本与报价联动，不作为正式采购或销售价格。</w:t>
      </w:r>
    </w:p>
    <w:p>
      <w:r>
        <w:drawing>
          <wp:inline xmlns:a="http://schemas.openxmlformats.org/drawingml/2006/main" xmlns:pic="http://schemas.openxmlformats.org/drawingml/2006/picture">
            <wp:extent cx="7200000" cy="405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finance-overview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核价汇总指标与演示一键补齐价格</w:t>
      </w:r>
    </w:p>
    <w:p>
      <w:r>
        <w:br w:type="page"/>
      </w:r>
    </w:p>
    <w:p>
      <w:pPr>
        <w:pStyle w:val="Heading1"/>
      </w:pPr>
      <w:r>
        <w:t>25 核对子件成本与报价计算</w:t>
      </w:r>
    </w:p>
    <w:p>
      <w:pPr>
        <w:spacing w:after="120"/>
      </w:pPr>
      <w:r>
        <w:t>操作对象：包1 · 货物项01 · 750kV导线跳线串的子件成本</w:t>
      </w:r>
    </w:p>
    <w:p>
      <w:pPr>
        <w:spacing w:after="120"/>
      </w:pPr>
      <w:r>
        <w:t>进入路径：财务身份 → 成本核算与方案选择 → 货物项01 → 展开子件</w:t>
      </w:r>
    </w:p>
    <w:p>
      <w:pPr>
        <w:spacing w:after="120"/>
      </w:pPr>
      <w:r>
        <w:t>在“货物项价格复核”点击“展开子件”。逐行核对每套用量、库中或参考单价、本次核算单价及成本来源；需要调整时修改本次核算单价并填写对应说明。</w:t>
      </w:r>
    </w:p>
    <w:p>
      <w:pPr>
        <w:spacing w:after="120"/>
      </w:pPr>
      <w:r>
        <w:t>金具串单位成本按子件单价乘每套用量汇总；独立物资可在其单位成本字段维护。本次成本变化后，对应串的未税单价会按所设毛利率重新计算。</w:t>
      </w:r>
    </w:p>
    <w:p>
      <w:r>
        <w:drawing>
          <wp:inline xmlns:a="http://schemas.openxmlformats.org/drawingml/2006/main" xmlns:pic="http://schemas.openxmlformats.org/drawingml/2006/picture">
            <wp:extent cx="7200000" cy="405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cost-detail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展开子件后的本次核算单价与成本小计</w:t>
      </w:r>
    </w:p>
    <w:p>
      <w:r>
        <w:br w:type="page"/>
      </w:r>
    </w:p>
    <w:p>
      <w:pPr>
        <w:pStyle w:val="Heading1"/>
      </w:pPr>
      <w:r>
        <w:t>26 验证参考成本自动带出</w:t>
      </w:r>
    </w:p>
    <w:p>
      <w:pPr>
        <w:spacing w:after="120"/>
      </w:pPr>
      <w:r>
        <w:t>操作对象：包1 · 货物项03 · 7X2-4055-21H串 · 子件均压屏蔽环FJD-80/1350/H</w:t>
      </w:r>
    </w:p>
    <w:p>
      <w:pPr>
        <w:spacing w:after="120"/>
      </w:pPr>
      <w:r>
        <w:t>进入路径：财务身份 → 成本核算与方案选择 → 货物项03 → 含参考子件成本 → 查看成本依据</w:t>
      </w:r>
    </w:p>
    <w:p>
      <w:pPr>
        <w:spacing w:after="120"/>
      </w:pPr>
      <w:r>
        <w:t>完成第18节的参考选择和技术总监确认后，切换到本包指定财务人员，进入“成本核算与方案选择”。先检查自动带出的价格，无需为了这条已选参考的子件再点击“演示一键补齐价格”。</w:t>
      </w:r>
    </w:p>
    <w:p>
      <w:pPr>
        <w:spacing w:after="120"/>
      </w:pPr>
      <w:r>
        <w:t>点击货物项03单位成本附近的“含参考子件成本”，展开并定位FJD-80/1350/H均压屏蔽环，检查参考单价、本次核算单价和成本来源。</w:t>
      </w:r>
    </w:p>
    <w:p>
      <w:pPr>
        <w:spacing w:after="120"/>
      </w:pPr>
      <w:r>
        <w:t>预期显示“参考子件成本”及参考FJY-80/760/340的说明。点击“查看成本依据”核对参考对象、料号、来源行及工艺路线。参考件仅为核算依据，不代表正式替代件。</w:t>
      </w:r>
    </w:p>
    <w:p>
      <w:pPr>
        <w:spacing w:after="120"/>
      </w:pPr>
      <w:r>
        <w:t>单价口径提示：当前页面单价仅用于原型演示，尚未按前期双方已确认的公式计算；后续正式开发将采用双方已确认的公式。本例181.2600元为演示参考单价，不作为正式计算结果或验收依据。</w:t>
      </w:r>
    </w:p>
    <w:p>
      <w:pPr>
        <w:spacing w:after="120"/>
      </w:pPr>
      <w:r>
        <w:t>财务调整本次核算单价后，系统优先采用手工价并保留参考依据，更新串成本及整包报价。其他既无料号也无参考的子件，仍需由财务补充成本。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cantSplit/>
          <w:tblHeader/>
        </w:trPr>
        <w:tc>
          <w:tcPr>
            <w:tcW w:type="dxa" w:w="75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2F6F9"/>
          </w:tcPr>
          <w:p>
            <w:pPr>
              <w:spacing w:before="20" w:after="20"/>
            </w:pPr>
            <w:r>
              <w:rPr>
                <w:b/>
                <w:sz w:val="18"/>
              </w:rPr>
              <w:t>核对位置</w:t>
            </w:r>
          </w:p>
        </w:tc>
        <w:tc>
          <w:tcPr>
            <w:tcW w:type="dxa" w:w="75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2F6F9"/>
          </w:tcPr>
          <w:p>
            <w:pPr>
              <w:spacing w:before="20" w:after="20"/>
            </w:pPr>
            <w:r>
              <w:rPr>
                <w:b/>
                <w:sz w:val="18"/>
              </w:rPr>
              <w:t>测试预期</w:t>
            </w:r>
          </w:p>
        </w:tc>
      </w:tr>
      <w:tr>
        <w:trPr>
          <w:cantSplit/>
        </w:trPr>
        <w:tc>
          <w:tcPr>
            <w:tcW w:type="dxa" w:w="75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8"/>
              </w:rPr>
              <w:t>当前子件料号</w:t>
            </w:r>
          </w:p>
        </w:tc>
        <w:tc>
          <w:tcPr>
            <w:tcW w:type="dxa" w:w="75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8"/>
              </w:rPr>
              <w:t>仍可为空，未被参考件料号覆盖</w:t>
            </w:r>
          </w:p>
        </w:tc>
      </w:tr>
      <w:tr>
        <w:trPr>
          <w:cantSplit/>
        </w:trPr>
        <w:tc>
          <w:tcPr>
            <w:tcW w:type="dxa" w:w="75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8"/>
              </w:rPr>
              <w:t>成本来源</w:t>
            </w:r>
          </w:p>
        </w:tc>
        <w:tc>
          <w:tcPr>
            <w:tcW w:type="dxa" w:w="75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8"/>
              </w:rPr>
              <w:t>显示参考子件成本及对应说明</w:t>
            </w:r>
          </w:p>
        </w:tc>
      </w:tr>
      <w:tr>
        <w:trPr>
          <w:cantSplit/>
        </w:trPr>
        <w:tc>
          <w:tcPr>
            <w:tcW w:type="dxa" w:w="75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8"/>
              </w:rPr>
              <w:t>参考单价</w:t>
            </w:r>
          </w:p>
        </w:tc>
        <w:tc>
          <w:tcPr>
            <w:tcW w:type="dxa" w:w="75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8"/>
              </w:rPr>
              <w:t>展示原型演示值，本例181.2600元；正式开发采用已确认公式</w:t>
            </w:r>
          </w:p>
        </w:tc>
      </w:tr>
      <w:tr>
        <w:trPr>
          <w:cantSplit/>
        </w:trPr>
        <w:tc>
          <w:tcPr>
            <w:tcW w:type="dxa" w:w="75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8"/>
              </w:rPr>
              <w:t>成本小计</w:t>
            </w:r>
          </w:p>
        </w:tc>
        <w:tc>
          <w:tcPr>
            <w:tcW w:type="dxa" w:w="75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8"/>
              </w:rPr>
              <w:t>参考或本次核算单价 × 当前子件用量</w:t>
            </w:r>
          </w:p>
        </w:tc>
      </w:tr>
      <w:tr>
        <w:trPr>
          <w:cantSplit/>
        </w:trPr>
        <w:tc>
          <w:tcPr>
            <w:tcW w:type="dxa" w:w="75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8"/>
              </w:rPr>
              <w:t>财务调整核算价后</w:t>
            </w:r>
          </w:p>
        </w:tc>
        <w:tc>
          <w:tcPr>
            <w:tcW w:type="dxa" w:w="75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8"/>
              </w:rPr>
              <w:t>采用手工价，保留参考说明并更新报价</w:t>
            </w:r>
          </w:p>
        </w:tc>
      </w:tr>
    </w:tbl>
    <w:p/>
    <w:p>
      <w:r>
        <w:br w:type="page"/>
      </w:r>
    </w:p>
    <w:p>
      <w:pPr>
        <w:pStyle w:val="Heading1"/>
      </w:pPr>
      <w:r>
        <w:t>27 理解演示报价计算结果</w:t>
      </w:r>
    </w:p>
    <w:p>
      <w:pPr>
        <w:spacing w:after="120"/>
      </w:pPr>
      <w:r>
        <w:t>操作对象：包1整包报价与各串报价，计算数值仅用于原型演示</w:t>
      </w:r>
    </w:p>
    <w:p>
      <w:pPr>
        <w:spacing w:after="120"/>
      </w:pPr>
      <w:r>
        <w:t>进入路径：财务身份 → 成本核算与方案选择 → 核对单位成本及报价汇总</w:t>
      </w:r>
    </w:p>
    <w:p>
      <w:pPr>
        <w:spacing w:after="120"/>
      </w:pPr>
      <w:r>
        <w:t>单价口径提示：当前页面单价仅用于原型演示，尚未按前期双方已确认的公式计算；后续正式开发将采用双方已确认的公式。以下关系用于说明当前原型的演示联动，不作为正式公式或验收依据。</w:t>
      </w:r>
    </w:p>
    <w:p>
      <w:pPr>
        <w:spacing w:after="120"/>
      </w:pPr>
      <w:r>
        <w:t>演示示例：某串单位成本100元，目标毛利率20%，未税单价为125元；采购10套，未税报价1250元、成本1000元、毛利额250元。税率13%时，含税报价为1412.50元。</w:t>
      </w:r>
    </w:p>
    <w:p>
      <w:pPr>
        <w:spacing w:after="120"/>
      </w:pPr>
      <w:r>
        <w:t>该演示示例中，目标毛利率按收入计算，20%不等于在100元成本上加20元。当前原型按下表关系联动；正式计算口径以双方已确认的公式为准。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cantSplit/>
          <w:tblHeader/>
        </w:trPr>
        <w:tc>
          <w:tcPr>
            <w:tcW w:type="dxa" w:w="75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2F6F9"/>
          </w:tcPr>
          <w:p>
            <w:pPr>
              <w:spacing w:before="20" w:after="20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75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2F6F9"/>
          </w:tcPr>
          <w:p>
            <w:pPr>
              <w:spacing w:before="20" w:after="20"/>
            </w:pPr>
            <w:r>
              <w:rPr>
                <w:b/>
                <w:sz w:val="18"/>
              </w:rPr>
              <w:t>当前原型的演示计算方式</w:t>
            </w:r>
          </w:p>
        </w:tc>
      </w:tr>
      <w:tr>
        <w:trPr>
          <w:cantSplit/>
        </w:trPr>
        <w:tc>
          <w:tcPr>
            <w:tcW w:type="dxa" w:w="75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8"/>
              </w:rPr>
              <w:t>每串未税单价</w:t>
            </w:r>
          </w:p>
        </w:tc>
        <w:tc>
          <w:tcPr>
            <w:tcW w:type="dxa" w:w="75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8"/>
              </w:rPr>
              <w:t>单位成本 ÷（1－目标毛利率）</w:t>
            </w:r>
          </w:p>
        </w:tc>
      </w:tr>
      <w:tr>
        <w:trPr>
          <w:cantSplit/>
        </w:trPr>
        <w:tc>
          <w:tcPr>
            <w:tcW w:type="dxa" w:w="75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8"/>
              </w:rPr>
              <w:t>该项未税报价</w:t>
            </w:r>
          </w:p>
        </w:tc>
        <w:tc>
          <w:tcPr>
            <w:tcW w:type="dxa" w:w="75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8"/>
              </w:rPr>
              <w:t>未税单价 × 采购数量</w:t>
            </w:r>
          </w:p>
        </w:tc>
      </w:tr>
      <w:tr>
        <w:trPr>
          <w:cantSplit/>
        </w:trPr>
        <w:tc>
          <w:tcPr>
            <w:tcW w:type="dxa" w:w="75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8"/>
              </w:rPr>
              <w:t>该项毛利额</w:t>
            </w:r>
          </w:p>
        </w:tc>
        <w:tc>
          <w:tcPr>
            <w:tcW w:type="dxa" w:w="75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8"/>
              </w:rPr>
              <w:t>该项未税报价－该项总成本</w:t>
            </w:r>
          </w:p>
        </w:tc>
      </w:tr>
      <w:tr>
        <w:trPr>
          <w:cantSplit/>
        </w:trPr>
        <w:tc>
          <w:tcPr>
            <w:tcW w:type="dxa" w:w="75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8"/>
              </w:rPr>
              <w:t>整包总毛利率</w:t>
            </w:r>
          </w:p>
        </w:tc>
        <w:tc>
          <w:tcPr>
            <w:tcW w:type="dxa" w:w="75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8"/>
              </w:rPr>
              <w:t>（整包未税报价－整包总成本）÷整包未税报价 × 100%</w:t>
            </w:r>
          </w:p>
        </w:tc>
      </w:tr>
      <w:tr>
        <w:trPr>
          <w:cantSplit/>
        </w:trPr>
        <w:tc>
          <w:tcPr>
            <w:tcW w:type="dxa" w:w="75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8"/>
              </w:rPr>
              <w:t>整包含税报价</w:t>
            </w:r>
          </w:p>
        </w:tc>
        <w:tc>
          <w:tcPr>
            <w:tcW w:type="dxa" w:w="75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8"/>
              </w:rPr>
              <w:t>整包未税报价 ×（1＋税率）</w:t>
            </w:r>
          </w:p>
        </w:tc>
      </w:tr>
    </w:tbl>
    <w:p/>
    <w:p>
      <w:r>
        <w:br w:type="page"/>
      </w:r>
    </w:p>
    <w:p>
      <w:pPr>
        <w:pStyle w:val="Heading1"/>
      </w:pPr>
      <w:r>
        <w:t>28 每串分别设置目标毛利率</w:t>
      </w:r>
    </w:p>
    <w:p>
      <w:pPr>
        <w:spacing w:after="120"/>
      </w:pPr>
      <w:r>
        <w:t>操作对象：包1 · 货物项01和02，演示分别设置20%与25%目标毛利率</w:t>
      </w:r>
    </w:p>
    <w:p>
      <w:pPr>
        <w:spacing w:after="120"/>
      </w:pPr>
      <w:r>
        <w:t>进入路径：财务身份 → 成本核算与方案选择 → 对应货物项 → 单项毛利率</w:t>
      </w:r>
    </w:p>
    <w:p>
      <w:pPr>
        <w:spacing w:after="120"/>
      </w:pPr>
      <w:r>
        <w:t>在各行“单项毛利率（%）”填写目标值，例如第一串20%、第二串25%；各串可以不同。输入后移出输入框，系统自动更新未税单价、整包报价和总毛利率。</w:t>
      </w:r>
    </w:p>
    <w:p>
      <w:pPr>
        <w:spacing w:after="120"/>
      </w:pPr>
      <w:r>
        <w:t>毛利率允许0至小于100%。未税单价由单位成本与目标毛利率计算，不直接手填；整包总毛利率按全部报价收入和成本汇总，不是各串百分比的算术平均。</w:t>
      </w:r>
    </w:p>
    <w:p>
      <w:r>
        <w:drawing>
          <wp:inline xmlns:a="http://schemas.openxmlformats.org/drawingml/2006/main" xmlns:pic="http://schemas.openxmlformats.org/drawingml/2006/picture">
            <wp:extent cx="7200000" cy="405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item-margin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不同货物项分别设置毛利率</w:t>
      </w:r>
    </w:p>
    <w:p>
      <w:r>
        <w:br w:type="page"/>
      </w:r>
    </w:p>
    <w:p>
      <w:pPr>
        <w:pStyle w:val="Heading1"/>
      </w:pPr>
      <w:r>
        <w:t>29 保存核价草稿或提交审批</w:t>
      </w:r>
    </w:p>
    <w:p>
      <w:pPr>
        <w:spacing w:after="120"/>
      </w:pPr>
      <w:r>
        <w:t>核对税率，在“计价与商务口径”填写币种、税费、运费、有效期等条件。草稿可暂留空，提交审批前必须填写；示例可输入“人民币，税率13%，运费及有效期以双方确认条件为准”。</w:t>
      </w:r>
    </w:p>
    <w:p>
      <w:pPr>
        <w:spacing w:after="120"/>
      </w:pPr>
      <w:r>
        <w:t>暂不提交时点击“仅保存核价草稿”。核对完成点击“提交审批签发”，系统先保存当前核价，再校验价格和商务口径并发起审批。</w:t>
      </w:r>
    </w:p>
    <w:p>
      <w:pPr>
        <w:spacing w:after="120"/>
      </w:pPr>
      <w:r>
        <w:t>需要技术重核时，使用“驳回到技术选项确认”并填写具体原因；退回后相关确认需按新版本重新完成。</w:t>
      </w:r>
    </w:p>
    <w:p>
      <w:r>
        <w:drawing>
          <wp:inline xmlns:a="http://schemas.openxmlformats.org/drawingml/2006/main" xmlns:pic="http://schemas.openxmlformats.org/drawingml/2006/picture">
            <wp:extent cx="7200000" cy="405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pricing-sav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商务口径保存与提交审批签发</w:t>
      </w:r>
    </w:p>
    <w:p>
      <w:r>
        <w:br w:type="page"/>
      </w:r>
    </w:p>
    <w:p>
      <w:pPr>
        <w:pStyle w:val="Heading1"/>
      </w:pPr>
      <w:r>
        <w:t>30 按当前审批节点提交意见</w:t>
      </w:r>
    </w:p>
    <w:p>
      <w:pPr>
        <w:spacing w:after="120"/>
      </w:pPr>
      <w:r>
        <w:t>进入“审批签发”区域，查看当前节点和指定处理人。切换为财务及该人员，点击“通过并流转”，填写审核结论或依据，再点击“确认提交”。</w:t>
      </w:r>
    </w:p>
    <w:p>
      <w:pPr>
        <w:spacing w:after="120"/>
      </w:pPr>
      <w:r>
        <w:t>依次处理审批节点，直到最终签发。新建项目时选择的财务负责人会带入本包财务审批节点，以本包实际显示为准，不能只照模板人员切换。</w:t>
      </w:r>
    </w:p>
    <w:p>
      <w:pPr>
        <w:spacing w:after="120"/>
      </w:pPr>
      <w:r>
        <w:t>需财务重新核价时点击“退回核价”并填写原因。董事长可查看进度和风险提醒；金额阈值或毛利红线提醒不自动新增董事长审批节点。</w:t>
      </w:r>
    </w:p>
    <w:p>
      <w:r>
        <w:drawing>
          <wp:inline xmlns:a="http://schemas.openxmlformats.org/drawingml/2006/main" xmlns:pic="http://schemas.openxmlformats.org/drawingml/2006/picture">
            <wp:extent cx="7200000" cy="405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approval-opinion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当前节点的审批意见填写与提交</w:t>
      </w:r>
    </w:p>
    <w:p>
      <w:r>
        <w:br w:type="page"/>
      </w:r>
    </w:p>
    <w:p>
      <w:pPr>
        <w:pStyle w:val="Heading1"/>
      </w:pPr>
      <w:r>
        <w:t>31 由指定财务人员签发报价</w:t>
      </w:r>
    </w:p>
    <w:p>
      <w:pPr>
        <w:spacing w:after="120"/>
      </w:pPr>
      <w:r>
        <w:t>所有审批节点完成后，查看最终签发节点的指定处理人。切换到该财务人员，核对报价及审批状态，点击“签发正式报价”。</w:t>
      </w:r>
    </w:p>
    <w:p>
      <w:pPr>
        <w:spacing w:after="120"/>
      </w:pPr>
      <w:r>
        <w:t>系统保存需求、核价、子件对外报价和审批快照，进入“已签发报价”页面。销售随后可以下载已签发版本；尚未完成审批时不能跳过流程签发。</w:t>
      </w:r>
    </w:p>
    <w:p>
      <w:r>
        <w:drawing>
          <wp:inline xmlns:a="http://schemas.openxmlformats.org/drawingml/2006/main" xmlns:pic="http://schemas.openxmlformats.org/drawingml/2006/picture">
            <wp:extent cx="7200000" cy="405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issue-ready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最终签发节点与签发正式报价按钮</w:t>
      </w:r>
    </w:p>
    <w:p>
      <w:r>
        <w:br w:type="page"/>
      </w:r>
    </w:p>
    <w:p>
      <w:pPr>
        <w:pStyle w:val="Heading1"/>
      </w:pPr>
      <w:r>
        <w:t>32 销售查看下载并登记外发</w:t>
      </w:r>
    </w:p>
    <w:p>
      <w:pPr>
        <w:spacing w:after="120"/>
      </w:pPr>
      <w:r>
        <w:t>切换为本包销售负责人，点击“销售外发”。核对已签发报价的版本、未税总额、税率、税额、含税总额和商务条款；点击串行可展开子件对外价格。</w:t>
      </w:r>
    </w:p>
    <w:p>
      <w:pPr>
        <w:spacing w:after="120"/>
      </w:pPr>
      <w:r>
        <w:t>点击“下载报价单Excel”保存报价单。确认已经在实际业务中向客户发送后，点击“登记外发”，本包进入客户议价中。</w:t>
      </w:r>
    </w:p>
    <w:p>
      <w:pPr>
        <w:spacing w:after="120"/>
      </w:pPr>
      <w:r>
        <w:t>“登记外发”只记录演示业务状态，不会自动发送邮件或消息给客户。</w:t>
      </w:r>
    </w:p>
    <w:p>
      <w:r>
        <w:drawing>
          <wp:inline xmlns:a="http://schemas.openxmlformats.org/drawingml/2006/main" xmlns:pic="http://schemas.openxmlformats.org/drawingml/2006/picture">
            <wp:extent cx="7200000" cy="405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-sales-quot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销售查看已签发报价并下载报价单</w:t>
      </w:r>
    </w:p>
    <w:p>
      <w:r>
        <w:br w:type="page"/>
      </w:r>
    </w:p>
    <w:p>
      <w:pPr>
        <w:pStyle w:val="Heading1"/>
      </w:pPr>
      <w:r>
        <w:t>33 客户议价时调整报价或新建版本</w:t>
      </w:r>
    </w:p>
    <w:p>
      <w:pPr>
        <w:spacing w:after="120"/>
      </w:pPr>
      <w:r>
        <w:t>已出具或客户议价中且尚未归档时，销售可点击“调整报价”，修改串或子件的未税报价。修改串价会按比例联动子件报价；修改子件价会重新汇总串价。</w:t>
      </w:r>
    </w:p>
    <w:p>
      <w:pPr>
        <w:spacing w:after="120"/>
      </w:pPr>
      <w:r>
        <w:t>点击“保存报价调整”生效；不保留修改点击“取消修改”。如果是需求、技术或成本依据发生变化，使用“创建报价新版本”，重新完成确认、核价与审批。</w:t>
      </w:r>
    </w:p>
    <w:p>
      <w:pPr>
        <w:spacing w:after="120"/>
      </w:pPr>
      <w:r>
        <w:t>下载时若仍有报价调整草稿，系统先尝试保存。本轮正式商务条件仍需按实际客户约定核对。</w:t>
      </w:r>
    </w:p>
    <w:p>
      <w:r>
        <w:drawing>
          <wp:inline xmlns:a="http://schemas.openxmlformats.org/drawingml/2006/main" xmlns:pic="http://schemas.openxmlformats.org/drawingml/2006/picture">
            <wp:extent cx="7200000" cy="405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adjust-quot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销售报价调整状态及保存入口</w:t>
      </w:r>
    </w:p>
    <w:p>
      <w:r>
        <w:br w:type="page"/>
      </w:r>
    </w:p>
    <w:p>
      <w:pPr>
        <w:pStyle w:val="Heading1"/>
      </w:pPr>
      <w:r>
        <w:t>34 登记成交结果并归档</w:t>
      </w:r>
    </w:p>
    <w:p>
      <w:pPr>
        <w:spacing w:after="120"/>
      </w:pPr>
      <w:r>
        <w:t>外发后点击“成交追踪”或报价页面的“登记成交结果”。选择已成交、未成交或已取消，填写必填的“客户反馈与依据”。</w:t>
      </w:r>
    </w:p>
    <w:p>
      <w:pPr>
        <w:spacing w:after="120"/>
      </w:pPr>
      <w:r>
        <w:t>点击“保存并归档入库”。系统保存结果并将本包归档，报价进入只读状态；填写真实结果前，请先核对客户确认或未成交、取消依据。</w:t>
      </w:r>
    </w:p>
    <w:p>
      <w:r>
        <w:drawing>
          <wp:inline xmlns:a="http://schemas.openxmlformats.org/drawingml/2006/main" xmlns:pic="http://schemas.openxmlformats.org/drawingml/2006/picture">
            <wp:extent cx="7200000" cy="405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deal-dialog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成交结果选择与客户反馈填写</w:t>
      </w:r>
    </w:p>
    <w:p>
      <w:r>
        <w:br w:type="page"/>
      </w:r>
    </w:p>
    <w:p>
      <w:pPr>
        <w:pStyle w:val="Heading1"/>
      </w:pPr>
      <w:r>
        <w:t>35 从历史库查阅归档报价</w:t>
      </w:r>
    </w:p>
    <w:p>
      <w:pPr>
        <w:spacing w:after="120"/>
      </w:pPr>
      <w:r>
        <w:t>点击“历史库”，通过项目、包名或客户等信息查找归档包，查看成交状态与报价版本，进入详情查阅已保存报价。</w:t>
      </w:r>
    </w:p>
    <w:p>
      <w:pPr>
        <w:spacing w:after="120"/>
      </w:pPr>
      <w:r>
        <w:t>销售可在归档报价详情中使用“取消归档”恢复跟进，再按页面允许的状态继续处理。重新启动需求或技术工作时应创建新版本，保留历史报价记录。</w:t>
      </w:r>
    </w:p>
    <w:p>
      <w:r>
        <w:drawing>
          <wp:inline xmlns:a="http://schemas.openxmlformats.org/drawingml/2006/main" xmlns:pic="http://schemas.openxmlformats.org/drawingml/2006/picture">
            <wp:extent cx="7200000" cy="405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-archiv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历史库中的归档报价包</w:t>
      </w:r>
    </w:p>
    <w:p>
      <w:r>
        <w:br w:type="page"/>
      </w:r>
    </w:p>
    <w:p>
      <w:pPr>
        <w:pStyle w:val="Heading1"/>
      </w:pPr>
      <w:r>
        <w:t>36 管理用户并查看在办责任</w:t>
      </w:r>
    </w:p>
    <w:p>
      <w:pPr>
        <w:spacing w:after="120"/>
      </w:pPr>
      <w:r>
        <w:t>切换为管理员，点击“用户管理”。使用搜索、角色及状态筛选查找用户，点击“编辑”维护姓名、账号和角色。原型保留一个管理员身份。</w:t>
      </w:r>
    </w:p>
    <w:p>
      <w:pPr>
        <w:spacing w:after="120"/>
      </w:pPr>
      <w:r>
        <w:t>本页不提供分配项目。项目操作人员在创建项目时选择；编辑用户后，人员候选及可见页面按其角色和启用状态更新。账号仅用于原型识别，不代表真实登录认证。</w:t>
      </w:r>
    </w:p>
    <w:p>
      <w:r>
        <w:drawing>
          <wp:inline xmlns:a="http://schemas.openxmlformats.org/drawingml/2006/main" xmlns:pic="http://schemas.openxmlformats.org/drawingml/2006/picture">
            <wp:extent cx="7200000" cy="405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user-managemen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用户列表 筛选编辑及启停入口</w:t>
      </w:r>
    </w:p>
    <w:p>
      <w:r>
        <w:br w:type="page"/>
      </w:r>
    </w:p>
    <w:p>
      <w:pPr>
        <w:pStyle w:val="Heading1"/>
      </w:pPr>
      <w:r>
        <w:t>37 新增用户并保存</w:t>
      </w:r>
    </w:p>
    <w:p>
      <w:pPr>
        <w:spacing w:after="120"/>
      </w:pPr>
      <w:r>
        <w:t>在用户管理点击“新增用户”，填写姓名、演示账号和角色。技术用户还需按页面选择员工或总监岗位。</w:t>
      </w:r>
    </w:p>
    <w:p>
      <w:pPr>
        <w:spacing w:after="120"/>
      </w:pPr>
      <w:r>
        <w:t>点击“保存用户”，返回列表检查新增记录；已启用人员可进入相应角色的人员候选。已有项目不会因新增用户而自动转交责任。</w:t>
      </w:r>
    </w:p>
    <w:p>
      <w:r>
        <w:drawing>
          <wp:inline xmlns:a="http://schemas.openxmlformats.org/drawingml/2006/main" xmlns:pic="http://schemas.openxmlformats.org/drawingml/2006/picture">
            <wp:extent cx="7200000" cy="405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-new-user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新增用户表单</w:t>
      </w:r>
    </w:p>
    <w:p>
      <w:r>
        <w:br w:type="page"/>
      </w:r>
    </w:p>
    <w:p>
      <w:pPr>
        <w:pStyle w:val="Heading1"/>
      </w:pPr>
      <w:r>
        <w:t>38 停用前处理在办项目和任务</w:t>
      </w:r>
    </w:p>
    <w:p>
      <w:pPr>
        <w:spacing w:after="120"/>
      </w:pPr>
      <w:r>
        <w:t>点击用户行的“停用”。若该人员仍负责项目、流程任务或当前有效配置，系统阻止停用，并列出相关项目、报价包或配置引用；阅读后点击“知道了”返回。</w:t>
      </w:r>
    </w:p>
    <w:p>
      <w:pPr>
        <w:spacing w:after="120"/>
      </w:pPr>
      <w:r>
        <w:t>先完成任务或按业务允许的编辑入口调整负责人及模板引用，再尝试停用。不要通过改名或换角色绕过在办责任；此类变更也可能被阻止。</w:t>
      </w:r>
    </w:p>
    <w:p>
      <w:pPr>
        <w:spacing w:after="120"/>
      </w:pPr>
      <w:r>
        <w:t>成功停用后，该人员不能作为新的负责人候选。需要恢复时点击“启用”；同一角色最后一位启用人员也不能直接停用。</w:t>
      </w:r>
    </w:p>
    <w:p>
      <w:r>
        <w:drawing>
          <wp:inline xmlns:a="http://schemas.openxmlformats.org/drawingml/2006/main" xmlns:pic="http://schemas.openxmlformats.org/drawingml/2006/picture">
            <wp:extent cx="7200000" cy="405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-user-disable-blocked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仍有项目或任务责任时禁止停用并列明引用</w:t>
      </w:r>
    </w:p>
    <w:p>
      <w:r>
        <w:br w:type="page"/>
      </w:r>
    </w:p>
    <w:p>
      <w:pPr>
        <w:pStyle w:val="Heading1"/>
      </w:pPr>
      <w:r>
        <w:t>39 配置角色页面权限与操作权限</w:t>
      </w:r>
    </w:p>
    <w:p>
      <w:pPr>
        <w:spacing w:after="120"/>
      </w:pPr>
      <w:r>
        <w:t>管理员进入“角色管理”，在需要调整的角色列中勾选或取消页面访问和关键操作权限。每次勾选变更会自动保存并立即生效，无需另外点击保存按钮。</w:t>
      </w:r>
    </w:p>
    <w:p>
      <w:pPr>
        <w:spacing w:after="120"/>
      </w:pPr>
      <w:r>
        <w:t>切换到相应角色验证效果。左侧导航仍完整展示；没有页面权限时显示权限提示，操作权限则决定是否允许执行相关业务动作。</w:t>
      </w:r>
    </w:p>
    <w:p>
      <w:pPr>
        <w:spacing w:after="120"/>
      </w:pPr>
      <w:r>
        <w:t>页面授权仍受系统角色职责约束，不能把财务核价等专业动作任意赋予其他角色。当前原型没有真实账号认证，权限设置用于流程演示。</w:t>
      </w:r>
    </w:p>
    <w:p>
      <w:r>
        <w:drawing>
          <wp:inline xmlns:a="http://schemas.openxmlformats.org/drawingml/2006/main" xmlns:pic="http://schemas.openxmlformats.org/drawingml/2006/picture">
            <wp:extent cx="7200000" cy="405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-role-management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角色管理中的页面与关键操作权限</w:t>
      </w:r>
    </w:p>
    <w:p>
      <w:r>
        <w:br w:type="page"/>
      </w:r>
    </w:p>
    <w:p>
      <w:pPr>
        <w:pStyle w:val="Heading1"/>
      </w:pPr>
      <w:r>
        <w:t>40 维护审批流程和默认负责人模板</w:t>
      </w:r>
    </w:p>
    <w:p>
      <w:pPr>
        <w:spacing w:after="120"/>
      </w:pPr>
      <w:r>
        <w:t>管理员进入“审批与流程配置”，修改后续阶段默认负责人；在审批签发流程中可修改节点名称和人员，新增审批节点、上移下移或删除。至少保留一位审批人，最终签发固定在最后。</w:t>
      </w:r>
    </w:p>
    <w:p>
      <w:pPr>
        <w:spacing w:after="120"/>
      </w:pPr>
      <w:r>
        <w:t>点击“保存配置模板”生成新版本。流程版本记录可启用或停用，创建新报价包前应保持一个有效启用版本；已创建报价包沿用其保存的流程快照。</w:t>
      </w:r>
    </w:p>
    <w:p>
      <w:pPr>
        <w:spacing w:after="120"/>
      </w:pPr>
      <w:r>
        <w:t>金额阈值与毛利红线仅董事长可以保存。默认负责人模板不是用户级项目分配，新建项目时仍需确认本项目负责人。</w:t>
      </w:r>
    </w:p>
    <w:p>
      <w:r>
        <w:drawing>
          <wp:inline xmlns:a="http://schemas.openxmlformats.org/drawingml/2006/main" xmlns:pic="http://schemas.openxmlformats.org/drawingml/2006/picture">
            <wp:extent cx="7200000" cy="405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-workflow-config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浅蓝色审批配置页面与保存模板入口</w:t>
      </w:r>
    </w:p>
    <w:p>
      <w:r>
        <w:br w:type="page"/>
      </w:r>
    </w:p>
    <w:p>
      <w:pPr>
        <w:pStyle w:val="Heading1"/>
      </w:pPr>
      <w:r>
        <w:t>41 查看资料治理的来源和版本</w:t>
      </w:r>
    </w:p>
    <w:p>
      <w:pPr>
        <w:spacing w:after="120"/>
      </w:pPr>
      <w:r>
        <w:t>默认以管理员身份进入“资料治理”，查看U9辅助映射及国网图册的来源、版本、审核状态和比对说明，点击“查看”打开结构化结果，使用详情右上角关闭按钮返回。</w:t>
      </w:r>
    </w:p>
    <w:p>
      <w:pPr>
        <w:spacing w:after="120"/>
      </w:pPr>
      <w:r>
        <w:t>上传及审核发布还要求技术角色并具有页面访问权限。管理员身份下相关按钮可能不可用；如需体验，应先由管理员在角色管理配置技术页面权限，再切换技术。</w:t>
      </w:r>
    </w:p>
    <w:p>
      <w:pPr>
        <w:spacing w:after="120"/>
      </w:pPr>
      <w:r>
        <w:t>未发布版本不参与新检索；演示中的上传、拆解与发布不能等同于真实资料处理服务。资料治理用于基础资料管理，本包重新解析应返回“资料解析”页面操作。</w:t>
      </w:r>
    </w:p>
    <w:p>
      <w:r>
        <w:drawing>
          <wp:inline xmlns:a="http://schemas.openxmlformats.org/drawingml/2006/main" xmlns:pic="http://schemas.openxmlformats.org/drawingml/2006/picture">
            <wp:extent cx="7200000" cy="405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-data-governanc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基础资料来源版本审核状态及查看入口</w:t>
      </w:r>
    </w:p>
    <w:p>
      <w:r>
        <w:br w:type="page"/>
      </w:r>
    </w:p>
    <w:p>
      <w:pPr>
        <w:pStyle w:val="Heading1"/>
      </w:pPr>
      <w:r>
        <w:t>42 查阅规则字典与后续功能范围</w:t>
      </w:r>
    </w:p>
    <w:p>
      <w:pPr>
        <w:spacing w:after="120"/>
      </w:pPr>
      <w:r>
        <w:t>在“规则与字典”查阅规范字段、常见叫法及必填口径，帮助理解来源资料中的同义名称。本页当前以查看为主，不作为日常报价必经步骤。</w:t>
      </w:r>
    </w:p>
    <w:p>
      <w:pPr>
        <w:spacing w:after="120"/>
      </w:pPr>
      <w:r>
        <w:t>“成本库与集成”为二期内容，“报告与出图”为三期内容。当前页面用于展示后续范围，不需要点击这些入口才能完成本说明中的报价流程。</w:t>
      </w:r>
    </w:p>
    <w:p>
      <w:r>
        <w:drawing>
          <wp:inline xmlns:a="http://schemas.openxmlformats.org/drawingml/2006/main" xmlns:pic="http://schemas.openxmlformats.org/drawingml/2006/picture">
            <wp:extent cx="7200000" cy="405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-rules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规则与字典中的字段定义及必填口径</w:t>
      </w:r>
    </w:p>
    <w:p>
      <w:r>
        <w:br w:type="page"/>
      </w:r>
    </w:p>
    <w:p>
      <w:pPr>
        <w:pStyle w:val="Heading1"/>
      </w:pPr>
      <w:r>
        <w:t>43 操作遇到问题时如何继续</w:t>
      </w:r>
    </w:p>
    <w:p>
      <w:pPr>
        <w:spacing w:after="120"/>
      </w:pPr>
      <w:r>
        <w:t>按钮灰色：先检查角色和当前人员，再检查前一阶段是否完成、必填值是否补齐，以及操作是否仍处于可修改阶段。菜单可见不代表具有操作权限。</w:t>
      </w:r>
    </w:p>
    <w:p>
      <w:pPr>
        <w:spacing w:after="120"/>
      </w:pPr>
      <w:r>
        <w:t>项目创建后没有任何报价包：“创建项目”能点但列表为空，通常是没有解析工作表。回到新建项目，确认工作表已显示“已解析”再创建。</w:t>
      </w:r>
    </w:p>
    <w:p>
      <w:pPr>
        <w:spacing w:after="120"/>
      </w:pPr>
      <w:r>
        <w:t>报价包列表为空或显示“当前工作表下暂无可见报价包”：检查当前人员是否为该包指定负责人。技术角色的默认账号往往不是项目里的技术总监。</w:t>
      </w:r>
    </w:p>
    <w:p>
      <w:pPr>
        <w:spacing w:after="120"/>
      </w:pPr>
      <w:r>
        <w:t>批量进入按钮灰色：把鼠标移到红字提示上，它会说明是哪个包不满足条件——不同处理环节、无权处理或已归档，三种原因处理方式完全不同。</w:t>
      </w:r>
    </w:p>
    <w:p>
      <w:pPr>
        <w:spacing w:after="120"/>
      </w:pPr>
      <w:r>
        <w:t>技术不能提交：检查每个金具串的串型号、电压与导线，逐行处理子件缺项、候选、材质、用量和图号。销售确认并不免除技术完整性校验。</w:t>
      </w:r>
    </w:p>
    <w:p>
      <w:pPr>
        <w:spacing w:after="120"/>
      </w:pPr>
      <w:r>
        <w:t>核价不能提交：检查缺失成本、毛利率范围、计价与商务口径，以及是否存在有效启用的审批流程。审批无法处理时，以当前节点显示的指定处理人为准。</w:t>
      </w:r>
    </w:p>
    <w:p>
      <w:pPr>
        <w:spacing w:after="120"/>
      </w:pPr>
      <w:r>
        <w:t>返回后仍保留数据：当前原型在同一浏览器本地保存，跨设备不会自动同步。不要在正常体验中点击“重置演示”；该操作会清除本地项目、报价包和相关记录。</w:t>
      </w:r>
    </w:p>
    <w:p>
      <w:pPr>
        <w:spacing w:after="120"/>
      </w:pPr>
      <w:r>
        <w:t>建议按顺序体验：销售创建项目与解析 → 销售确认 → 技术核对与总监确认 → 财务核价 → 节点审批与签发 → 销售下载外发 → 成交登记与历史查阅。</w:t>
      </w:r>
    </w:p>
    <w:sectPr w:rsidR="00FC693F" w:rsidRPr="0006063C" w:rsidSect="00034616">
      <w:headerReference w:type="default" r:id="rId9"/>
      <w:footerReference w:type="default" r:id="rId10"/>
      <w:pgSz w:w="16838" w:h="11906"/>
      <w:pgMar w:top="794" w:right="850" w:bottom="737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2026年10月22日  ·  第 </w:t>
    </w:r>
    <w:fldSimple w:instr="PAGE"/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红光金具智能报价系统  用户使用说明书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Arial" w:hAnsi="Arial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/>
      <w:outlineLvl w:val="0"/>
    </w:pPr>
    <w:rPr>
      <w:rFonts w:ascii="Arial" w:hAnsi="Arial" w:eastAsia="黑体" w:cs="Arial"/>
      <w:b w:val="0"/>
      <w:bCs w:val="0"/>
      <w:i w:val="0"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Arial" w:hAnsi="Arial" w:eastAsia="黑体" w:cs="Arial"/>
      <w:b w:val="0"/>
      <w:bCs w:val="0"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黑体" w:cs="Arial"/>
      <w:b w:val="0"/>
      <w:bCs w:val="0"/>
      <w:i w:val="0"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黑体" w:cs="Arial"/>
      <w:b w:val="0"/>
      <w:bCs w:val="0"/>
      <w:i w:val="0"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="Arial" w:hAnsi="Arial" w:eastAsia="黑体" w:cs="Arial"/>
      <w:b w:val="0"/>
      <w:i w:val="0"/>
      <w:color w:val="000000"/>
      <w:spacing w:val="5"/>
      <w:kern w:val="28"/>
      <w:sz w:val="56"/>
      <w:szCs w:val="52"/>
      <w:bCs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黑体" w:cs="Arial"/>
      <w:b w:val="0"/>
      <w:i w:val="0"/>
      <w:color w:val="17365D" w:themeColor="text2" w:themeShade="BF"/>
      <w:spacing w:val="5"/>
      <w:kern w:val="28"/>
      <w:sz w:val="52"/>
      <w:szCs w:val="52"/>
      <w:bCs w:val="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="Arial" w:hAnsi="Arial" w:eastAsia="黑体" w:cs="Arial"/>
      <w:b w:val="0"/>
      <w:i w:val="0"/>
      <w:iCs/>
      <w:color w:val="000000"/>
      <w:spacing w:val="15"/>
      <w:sz w:val="24"/>
      <w:szCs w:val="24"/>
      <w:bCs w:val="0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黑体" w:cs="Arial"/>
      <w:b w:val="0"/>
      <w:i w:val="0"/>
      <w:iCs/>
      <w:color w:val="4F81BD" w:themeColor="accent1"/>
      <w:spacing w:val="15"/>
      <w:sz w:val="24"/>
      <w:szCs w:val="24"/>
      <w:bCs w:val="0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0" w:before="60"/>
    </w:pPr>
    <w:rPr>
      <w:rFonts w:ascii="Arial" w:hAnsi="Arial" w:eastAsia="黑体" w:cs="Arial"/>
      <w:b w:val="0"/>
      <w:bCs w:val="0"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