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框架选择：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Supermap Iclicent js 是依托于开源平台二次封装  </w:t>
      </w:r>
    </w:p>
    <w:p>
      <w:r>
        <w:drawing>
          <wp:inline distT="0" distB="0" distL="114300" distR="114300">
            <wp:extent cx="5262880" cy="2769235"/>
            <wp:effectExtent l="0" t="0" r="1397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由于项目要求兼容ie建议使用superMap Iclient for leaflet进行开发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入门教程：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此教程从api包的引入到基本demo的实现，助你打开gis开发大门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"https://iclient.supermap.io/web/introduction/leafletDevelop.html#specifySQLqueryCondition"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https://iclient.supermap.io/web/introduction/leafletDevelop.html#specifySQLqueryCondition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重点章节：</w:t>
      </w:r>
    </w:p>
    <w:p>
      <w:r>
        <w:drawing>
          <wp:inline distT="0" distB="0" distL="114300" distR="114300">
            <wp:extent cx="1965960" cy="2034540"/>
            <wp:effectExtent l="0" t="0" r="152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入门教程重点章节中涉及到L.supermap. 开头的类可在superMap iclient for leaflet API文档中查看学习理解，涉及到L. 开头的类在leaflet.js文档中查看学习理解</w:t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superMap iclient for leaflet API地址：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"https://iclient.supermap.io/web/apis/leaflet.html"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https://iclient.supermap.io/web/apis/leaflet.html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Leaflet.js  API地址：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"https://leafletjs.com/"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https://leafletjs.com/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SuperMap官方示例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学习过入门教程后，我们可以查看超图软件官方网站提供的一些经典的demo示例，可以在页面中进行调试与学习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官方示例地址：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"https://iclient.supermap.io/examples/leaflet/examples.html#iServer"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https://iclient.supermap.io/examples/leaflet/examples.html#iServer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图层的加载，设置参考坐标系，设置比例尺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406015"/>
            <wp:effectExtent l="0" t="0" r="3810" b="133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通过这两个例子，翻阅一下API。了解地图服务与数据服务的区别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639695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了解如何制作单值专题图与分段专题图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1964055"/>
            <wp:effectExtent l="0" t="0" r="1270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打开官方示例的地图服务与数据服务，了解iserver的功能，以及管理的服务的组织方式</w:t>
      </w:r>
    </w:p>
    <w:p>
      <w:pPr>
        <w:numPr>
          <w:numId w:val="0"/>
        </w:numPr>
        <w:ind w:leftChars="0"/>
        <w:rPr>
          <w:rFonts w:ascii="Consolas" w:hAnsi="Consolas" w:eastAsia="Consolas" w:cs="Consolas"/>
          <w:i w:val="0"/>
          <w:caps w:val="0"/>
          <w:color w:val="D44950"/>
          <w:spacing w:val="0"/>
          <w:sz w:val="19"/>
          <w:szCs w:val="19"/>
          <w:shd w:val="clear" w:fill="F7F7F9"/>
        </w:rPr>
      </w:pPr>
      <w:r>
        <w:rPr>
          <w:rFonts w:hint="eastAsia"/>
          <w:lang w:val="en-US" w:eastAsia="zh-CN"/>
        </w:rPr>
        <w:t>数据服务：</w:t>
      </w:r>
      <w:r>
        <w:rPr>
          <w:rFonts w:ascii="Consolas" w:hAnsi="Consolas" w:eastAsia="Consolas" w:cs="Consolas"/>
          <w:i w:val="0"/>
          <w:caps w:val="0"/>
          <w:color w:val="D44950"/>
          <w:spacing w:val="0"/>
          <w:sz w:val="19"/>
          <w:szCs w:val="19"/>
          <w:shd w:val="clear" w:fill="F7F7F9"/>
        </w:rPr>
        <w:fldChar w:fldCharType="begin"/>
      </w:r>
      <w:r>
        <w:rPr>
          <w:rFonts w:ascii="Consolas" w:hAnsi="Consolas" w:eastAsia="Consolas" w:cs="Consolas"/>
          <w:i w:val="0"/>
          <w:caps w:val="0"/>
          <w:color w:val="D44950"/>
          <w:spacing w:val="0"/>
          <w:sz w:val="19"/>
          <w:szCs w:val="19"/>
          <w:shd w:val="clear" w:fill="F7F7F9"/>
        </w:rPr>
        <w:instrText xml:space="preserve"> HYPERLINK "https://iserver.supermap.io/iserver/services/data-world/rest/data" </w:instrText>
      </w:r>
      <w:r>
        <w:rPr>
          <w:rFonts w:ascii="Consolas" w:hAnsi="Consolas" w:eastAsia="Consolas" w:cs="Consolas"/>
          <w:i w:val="0"/>
          <w:caps w:val="0"/>
          <w:color w:val="D44950"/>
          <w:spacing w:val="0"/>
          <w:sz w:val="19"/>
          <w:szCs w:val="19"/>
          <w:shd w:val="clear" w:fill="F7F7F9"/>
        </w:rPr>
        <w:fldChar w:fldCharType="separate"/>
      </w:r>
      <w:r>
        <w:rPr>
          <w:rStyle w:val="5"/>
          <w:rFonts w:ascii="Consolas" w:hAnsi="Consolas" w:eastAsia="Consolas" w:cs="Consolas"/>
          <w:i w:val="0"/>
          <w:caps w:val="0"/>
          <w:spacing w:val="0"/>
          <w:sz w:val="19"/>
          <w:szCs w:val="19"/>
          <w:shd w:val="clear" w:fill="F7F7F9"/>
        </w:rPr>
        <w:t>https://iserver.supermap.io/iserver/services/data-world/rest/data</w:t>
      </w:r>
      <w:r>
        <w:rPr>
          <w:rFonts w:ascii="Consolas" w:hAnsi="Consolas" w:eastAsia="Consolas" w:cs="Consolas"/>
          <w:i w:val="0"/>
          <w:caps w:val="0"/>
          <w:color w:val="D44950"/>
          <w:spacing w:val="0"/>
          <w:sz w:val="19"/>
          <w:szCs w:val="19"/>
          <w:shd w:val="clear" w:fill="F7F7F9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caps w:val="0"/>
          <w:color w:val="D44950"/>
          <w:spacing w:val="0"/>
          <w:sz w:val="19"/>
          <w:szCs w:val="19"/>
          <w:shd w:val="clear" w:fill="F7F7F9"/>
          <w:lang w:val="en-US" w:eastAsia="zh-CN"/>
        </w:rPr>
      </w:pPr>
      <w:r>
        <w:rPr>
          <w:rFonts w:hint="eastAsia"/>
          <w:lang w:val="en-US" w:eastAsia="zh-CN"/>
        </w:rPr>
        <w:t>地图服务：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"https://iclient.supermap.io/iserver/services/map-world/rest/maps/World"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https://iclient.supermap.io/iserver/services/map-world/rest/maps/World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Leaflet重点API</w:t>
      </w:r>
    </w:p>
    <w:p>
      <w:r>
        <w:drawing>
          <wp:inline distT="0" distB="0" distL="114300" distR="114300">
            <wp:extent cx="4747895" cy="4516755"/>
            <wp:effectExtent l="0" t="0" r="1460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451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项目中涉及到大量的数据组织，推荐使用GeoJSON作为图层的形式加载数据。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Geojson标准格式学习：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"https://www.jianshu.com/p/852d7ad081b3"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https://www.jianshu.com/p/852d7ad081b3</w:t>
      </w:r>
      <w:r>
        <w:rPr>
          <w:rFonts w:hint="default"/>
          <w:lang w:val="en-US" w:eastAsia="zh-CN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9E20EB"/>
    <w:multiLevelType w:val="singleLevel"/>
    <w:tmpl w:val="919E20E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245A24"/>
    <w:rsid w:val="15D123A6"/>
    <w:rsid w:val="2B4D49EC"/>
    <w:rsid w:val="4C073CEB"/>
    <w:rsid w:val="4C266AE9"/>
    <w:rsid w:val="5F2907E2"/>
    <w:rsid w:val="768F4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199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2020-11-30T01:01:00Z</dcterms:created>
  <dc:creator>henry</dc:creator>
  <cp:lastModifiedBy>henry</cp:lastModifiedBy>
  <dcterms:modified xsi:type="dcterms:W3CDTF">2020-12-04T09:18:34Z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