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85" w:rsidRDefault="002F5D85"/>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2F5D85">
        <w:trPr>
          <w:trHeight w:val="3080"/>
        </w:trPr>
        <w:tc>
          <w:tcPr>
            <w:tcW w:w="9025" w:type="dxa"/>
            <w:tcBorders>
              <w:top w:val="nil"/>
              <w:left w:val="nil"/>
              <w:bottom w:val="nil"/>
              <w:right w:val="nil"/>
            </w:tcBorders>
            <w:tcMar>
              <w:top w:w="100" w:type="dxa"/>
              <w:left w:w="100" w:type="dxa"/>
              <w:bottom w:w="100" w:type="dxa"/>
              <w:right w:w="100" w:type="dxa"/>
            </w:tcMar>
          </w:tcPr>
          <w:p w:rsidR="002F5D85" w:rsidRDefault="002F5D85">
            <w:pPr>
              <w:jc w:val="center"/>
              <w:rPr>
                <w:rFonts w:ascii="Cambria" w:eastAsia="Cambria" w:hAnsi="Cambria" w:cs="Cambria"/>
                <w:color w:val="222222"/>
              </w:rPr>
            </w:pPr>
          </w:p>
        </w:tc>
      </w:tr>
      <w:tr w:rsidR="002F5D85">
        <w:trPr>
          <w:trHeight w:val="1640"/>
        </w:trPr>
        <w:tc>
          <w:tcPr>
            <w:tcW w:w="9025" w:type="dxa"/>
            <w:tcBorders>
              <w:top w:val="nil"/>
              <w:left w:val="nil"/>
              <w:bottom w:val="single" w:sz="7" w:space="0" w:color="4F81BD"/>
              <w:right w:val="nil"/>
            </w:tcBorders>
            <w:tcMar>
              <w:top w:w="100" w:type="dxa"/>
              <w:left w:w="100" w:type="dxa"/>
              <w:bottom w:w="100" w:type="dxa"/>
              <w:right w:w="100" w:type="dxa"/>
            </w:tcMar>
          </w:tcPr>
          <w:p w:rsidR="002F5D85" w:rsidRDefault="00ED11B4">
            <w:pPr>
              <w:jc w:val="center"/>
              <w:rPr>
                <w:rFonts w:ascii="Cambria" w:eastAsia="Cambria" w:hAnsi="Cambria" w:cs="Cambria"/>
                <w:color w:val="222222"/>
                <w:sz w:val="80"/>
                <w:szCs w:val="80"/>
              </w:rPr>
            </w:pPr>
            <w:r>
              <w:rPr>
                <w:rFonts w:ascii="Cambria" w:eastAsia="Cambria" w:hAnsi="Cambria" w:cs="Cambria"/>
                <w:color w:val="222222"/>
                <w:sz w:val="80"/>
                <w:szCs w:val="80"/>
              </w:rPr>
              <w:t>Cloud Computing CA</w:t>
            </w:r>
          </w:p>
        </w:tc>
      </w:tr>
      <w:tr w:rsidR="002F5D85">
        <w:trPr>
          <w:trHeight w:val="920"/>
        </w:trPr>
        <w:tc>
          <w:tcPr>
            <w:tcW w:w="9025" w:type="dxa"/>
            <w:tcBorders>
              <w:top w:val="nil"/>
              <w:left w:val="nil"/>
              <w:bottom w:val="nil"/>
              <w:right w:val="nil"/>
            </w:tcBorders>
            <w:tcMar>
              <w:top w:w="100" w:type="dxa"/>
              <w:left w:w="100" w:type="dxa"/>
              <w:bottom w:w="100" w:type="dxa"/>
              <w:right w:w="100" w:type="dxa"/>
            </w:tcMar>
          </w:tcPr>
          <w:p w:rsidR="002F5D85" w:rsidRDefault="00ED11B4">
            <w:pPr>
              <w:jc w:val="center"/>
              <w:rPr>
                <w:rFonts w:ascii="Cambria" w:eastAsia="Cambria" w:hAnsi="Cambria" w:cs="Cambria"/>
                <w:color w:val="222222"/>
                <w:sz w:val="44"/>
                <w:szCs w:val="44"/>
              </w:rPr>
            </w:pPr>
            <w:r>
              <w:rPr>
                <w:rFonts w:ascii="Cambria" w:eastAsia="Cambria" w:hAnsi="Cambria" w:cs="Cambria"/>
                <w:color w:val="222222"/>
                <w:sz w:val="44"/>
                <w:szCs w:val="44"/>
              </w:rPr>
              <w:t>PT TEAM 4 Proposal</w:t>
            </w:r>
          </w:p>
        </w:tc>
      </w:tr>
      <w:tr w:rsidR="002F5D85">
        <w:trPr>
          <w:trHeight w:val="560"/>
        </w:trPr>
        <w:tc>
          <w:tcPr>
            <w:tcW w:w="9025" w:type="dxa"/>
            <w:tcBorders>
              <w:top w:val="nil"/>
              <w:left w:val="nil"/>
              <w:bottom w:val="nil"/>
              <w:right w:val="nil"/>
            </w:tcBorders>
            <w:tcMar>
              <w:top w:w="100" w:type="dxa"/>
              <w:left w:w="100" w:type="dxa"/>
              <w:bottom w:w="100" w:type="dxa"/>
              <w:right w:w="100" w:type="dxa"/>
            </w:tcMar>
          </w:tcPr>
          <w:p w:rsidR="002F5D85" w:rsidRDefault="00ED11B4">
            <w:pPr>
              <w:jc w:val="center"/>
              <w:rPr>
                <w:color w:val="222222"/>
              </w:rPr>
            </w:pPr>
            <w:r>
              <w:rPr>
                <w:color w:val="222222"/>
              </w:rPr>
              <w:t xml:space="preserve"> </w:t>
            </w:r>
          </w:p>
        </w:tc>
      </w:tr>
      <w:tr w:rsidR="002F5D85">
        <w:trPr>
          <w:trHeight w:val="560"/>
        </w:trPr>
        <w:tc>
          <w:tcPr>
            <w:tcW w:w="9025" w:type="dxa"/>
            <w:tcBorders>
              <w:top w:val="nil"/>
              <w:left w:val="nil"/>
              <w:bottom w:val="nil"/>
              <w:right w:val="nil"/>
            </w:tcBorders>
            <w:tcMar>
              <w:top w:w="100" w:type="dxa"/>
              <w:left w:w="100" w:type="dxa"/>
              <w:bottom w:w="100" w:type="dxa"/>
              <w:right w:w="100" w:type="dxa"/>
            </w:tcMar>
          </w:tcPr>
          <w:p w:rsidR="002F5D85" w:rsidRDefault="00ED11B4">
            <w:pPr>
              <w:jc w:val="center"/>
              <w:rPr>
                <w:b/>
                <w:color w:val="222222"/>
              </w:rPr>
            </w:pPr>
            <w:r>
              <w:rPr>
                <w:b/>
                <w:color w:val="222222"/>
              </w:rPr>
              <w:t xml:space="preserve"> </w:t>
            </w:r>
          </w:p>
        </w:tc>
      </w:tr>
      <w:tr w:rsidR="002F5D85">
        <w:trPr>
          <w:trHeight w:val="560"/>
        </w:trPr>
        <w:tc>
          <w:tcPr>
            <w:tcW w:w="9025" w:type="dxa"/>
            <w:tcBorders>
              <w:top w:val="nil"/>
              <w:left w:val="nil"/>
              <w:bottom w:val="nil"/>
              <w:right w:val="nil"/>
            </w:tcBorders>
            <w:tcMar>
              <w:top w:w="100" w:type="dxa"/>
              <w:left w:w="100" w:type="dxa"/>
              <w:bottom w:w="100" w:type="dxa"/>
              <w:right w:w="100" w:type="dxa"/>
            </w:tcMar>
          </w:tcPr>
          <w:p w:rsidR="002F5D85" w:rsidRDefault="00ED11B4">
            <w:pPr>
              <w:jc w:val="center"/>
              <w:rPr>
                <w:b/>
                <w:color w:val="222222"/>
              </w:rPr>
            </w:pPr>
            <w:r>
              <w:rPr>
                <w:b/>
                <w:color w:val="222222"/>
              </w:rPr>
              <w:t xml:space="preserve"> </w:t>
            </w:r>
          </w:p>
        </w:tc>
      </w:tr>
    </w:tbl>
    <w:p w:rsidR="002F5D85" w:rsidRDefault="002F5D85">
      <w:pPr>
        <w:rPr>
          <w:color w:val="222222"/>
        </w:rPr>
      </w:pPr>
    </w:p>
    <w:p w:rsidR="002F5D85" w:rsidRDefault="002F5D85">
      <w:pPr>
        <w:rPr>
          <w:color w:val="222222"/>
        </w:rPr>
      </w:pPr>
    </w:p>
    <w:p w:rsidR="002F5D85" w:rsidRDefault="00ED11B4">
      <w:pPr>
        <w:rPr>
          <w:color w:val="222222"/>
        </w:rPr>
      </w:pPr>
      <w:r>
        <w:rPr>
          <w:color w:val="222222"/>
        </w:rPr>
        <w:t>AMARJEET BRIJNANDAN SINGH - A0150157M</w:t>
      </w:r>
    </w:p>
    <w:p w:rsidR="002F5D85" w:rsidRDefault="002F5D85">
      <w:pPr>
        <w:rPr>
          <w:color w:val="222222"/>
        </w:rPr>
      </w:pPr>
    </w:p>
    <w:p w:rsidR="002F5D85" w:rsidRDefault="00ED11B4">
      <w:pPr>
        <w:rPr>
          <w:color w:val="222222"/>
        </w:rPr>
      </w:pPr>
      <w:r>
        <w:rPr>
          <w:color w:val="222222"/>
        </w:rPr>
        <w:t>CHENG HAO - A0006467E</w:t>
      </w:r>
    </w:p>
    <w:p w:rsidR="002F5D85" w:rsidRDefault="002F5D85">
      <w:pPr>
        <w:rPr>
          <w:color w:val="222222"/>
        </w:rPr>
      </w:pPr>
    </w:p>
    <w:p w:rsidR="002F5D85" w:rsidRDefault="00ED11B4">
      <w:pPr>
        <w:rPr>
          <w:color w:val="222222"/>
        </w:rPr>
      </w:pPr>
      <w:r>
        <w:rPr>
          <w:color w:val="222222"/>
        </w:rPr>
        <w:t>GONG SHENGLIANG - A0112429M</w:t>
      </w:r>
    </w:p>
    <w:p w:rsidR="002F5D85" w:rsidRDefault="002F5D85">
      <w:pPr>
        <w:rPr>
          <w:color w:val="222222"/>
        </w:rPr>
      </w:pPr>
    </w:p>
    <w:p w:rsidR="002F5D85" w:rsidRDefault="00ED11B4">
      <w:pPr>
        <w:rPr>
          <w:color w:val="222222"/>
        </w:rPr>
      </w:pPr>
      <w:r>
        <w:rPr>
          <w:color w:val="222222"/>
        </w:rPr>
        <w:t>HU RENWEN - A0150352U</w:t>
      </w:r>
    </w:p>
    <w:p w:rsidR="002F5D85" w:rsidRDefault="002F5D85">
      <w:pPr>
        <w:rPr>
          <w:color w:val="222222"/>
        </w:rPr>
      </w:pPr>
    </w:p>
    <w:p w:rsidR="002F5D85" w:rsidRDefault="00ED11B4">
      <w:pPr>
        <w:rPr>
          <w:color w:val="222222"/>
        </w:rPr>
      </w:pPr>
      <w:r>
        <w:rPr>
          <w:color w:val="222222"/>
        </w:rPr>
        <w:t>SMITA RANI BISOYI - A0150422X</w:t>
      </w:r>
    </w:p>
    <w:p w:rsidR="002F5D85" w:rsidRDefault="00ED11B4">
      <w:pPr>
        <w:rPr>
          <w:color w:val="222222"/>
        </w:rPr>
      </w:pPr>
      <w:r>
        <w:rPr>
          <w:color w:val="222222"/>
        </w:rPr>
        <w:t xml:space="preserve"> </w:t>
      </w:r>
    </w:p>
    <w:p w:rsidR="002F5D85" w:rsidRDefault="002F5D85">
      <w:pPr>
        <w:rPr>
          <w:color w:val="222222"/>
        </w:rPr>
      </w:pPr>
    </w:p>
    <w:p w:rsidR="002F5D85" w:rsidRDefault="00ED11B4">
      <w:pPr>
        <w:rPr>
          <w:rFonts w:ascii="Cambria" w:eastAsia="Cambria" w:hAnsi="Cambria" w:cs="Cambria"/>
          <w:color w:val="222222"/>
          <w:sz w:val="76"/>
          <w:szCs w:val="76"/>
        </w:rPr>
      </w:pPr>
      <w:r>
        <w:rPr>
          <w:rFonts w:ascii="Cambria" w:eastAsia="Cambria" w:hAnsi="Cambria" w:cs="Cambria"/>
          <w:color w:val="222222"/>
          <w:sz w:val="76"/>
          <w:szCs w:val="76"/>
        </w:rPr>
        <w:t xml:space="preserve"> </w:t>
      </w:r>
    </w:p>
    <w:p w:rsidR="002F5D85" w:rsidRDefault="00ED11B4">
      <w:pPr>
        <w:pStyle w:val="Heading1"/>
        <w:keepNext w:val="0"/>
        <w:keepLines w:val="0"/>
        <w:spacing w:before="480"/>
        <w:contextualSpacing w:val="0"/>
        <w:rPr>
          <w:b/>
          <w:color w:val="222222"/>
          <w:sz w:val="46"/>
          <w:szCs w:val="46"/>
        </w:rPr>
      </w:pPr>
      <w:bookmarkStart w:id="0" w:name="_f3aslnroz99m" w:colFirst="0" w:colLast="0"/>
      <w:bookmarkStart w:id="1" w:name="_wsmxemqyo41x" w:colFirst="0" w:colLast="0"/>
      <w:bookmarkEnd w:id="0"/>
      <w:bookmarkEnd w:id="1"/>
      <w:r>
        <w:rPr>
          <w:b/>
          <w:color w:val="222222"/>
          <w:sz w:val="46"/>
          <w:szCs w:val="46"/>
        </w:rPr>
        <w:lastRenderedPageBreak/>
        <w:t>Background</w:t>
      </w:r>
    </w:p>
    <w:p w:rsidR="002F5D85" w:rsidRDefault="00ED11B4">
      <w:pPr>
        <w:spacing w:before="200" w:line="360" w:lineRule="auto"/>
        <w:jc w:val="both"/>
        <w:rPr>
          <w:color w:val="222222"/>
        </w:rPr>
      </w:pPr>
      <w:r>
        <w:rPr>
          <w:color w:val="222222"/>
        </w:rPr>
        <w:t xml:space="preserve">Active Learning Institute had launched an online registration and management system in 2016. It was hosted on Microsoft Azure VM (IaaS) with localhost SQL database. </w:t>
      </w:r>
    </w:p>
    <w:p w:rsidR="002F5D85" w:rsidRDefault="00ED11B4">
      <w:pPr>
        <w:spacing w:before="200" w:line="360" w:lineRule="auto"/>
        <w:jc w:val="both"/>
        <w:rPr>
          <w:color w:val="222222"/>
        </w:rPr>
      </w:pPr>
      <w:r>
        <w:rPr>
          <w:color w:val="222222"/>
        </w:rPr>
        <w:t xml:space="preserve">It was noticed that some of the courses had very high demand and students had to spent at </w:t>
      </w:r>
      <w:r>
        <w:rPr>
          <w:color w:val="222222"/>
        </w:rPr>
        <w:t>least 10 minutes to complete the registration or get notified the desired course was fully enrolled, due to the long loading time of the pages. Some students had also feedback that they had encountered page cannot display message in their internet browsers</w:t>
      </w:r>
      <w:r>
        <w:rPr>
          <w:color w:val="222222"/>
        </w:rPr>
        <w:t>.</w:t>
      </w:r>
    </w:p>
    <w:p w:rsidR="002F5D85" w:rsidRDefault="00ED11B4">
      <w:pPr>
        <w:spacing w:before="200" w:line="360" w:lineRule="auto"/>
        <w:jc w:val="both"/>
        <w:rPr>
          <w:color w:val="222222"/>
        </w:rPr>
      </w:pPr>
      <w:r>
        <w:rPr>
          <w:color w:val="222222"/>
        </w:rPr>
        <w:t xml:space="preserve">Considering the high demand of some courses last year, the management of the institute has decided to open multiple concurrent sessions for the most popular courses this year. The online registration will be open on 1 July. </w:t>
      </w:r>
    </w:p>
    <w:p w:rsidR="002F5D85" w:rsidRDefault="00ED11B4">
      <w:pPr>
        <w:spacing w:before="200" w:line="360" w:lineRule="auto"/>
        <w:jc w:val="both"/>
        <w:rPr>
          <w:color w:val="222222"/>
        </w:rPr>
      </w:pPr>
      <w:r>
        <w:rPr>
          <w:color w:val="222222"/>
        </w:rPr>
        <w:t>The IT department head is now</w:t>
      </w:r>
      <w:r>
        <w:rPr>
          <w:color w:val="222222"/>
        </w:rPr>
        <w:t xml:space="preserve"> concerned about the performance.</w:t>
      </w:r>
    </w:p>
    <w:p w:rsidR="002F5D85" w:rsidRDefault="00ED11B4">
      <w:pPr>
        <w:pStyle w:val="Heading1"/>
        <w:keepNext w:val="0"/>
        <w:keepLines w:val="0"/>
        <w:spacing w:before="480"/>
        <w:contextualSpacing w:val="0"/>
        <w:rPr>
          <w:b/>
          <w:color w:val="222222"/>
          <w:sz w:val="46"/>
          <w:szCs w:val="46"/>
        </w:rPr>
      </w:pPr>
      <w:bookmarkStart w:id="2" w:name="_fy9ucltrxbyu" w:colFirst="0" w:colLast="0"/>
      <w:bookmarkStart w:id="3" w:name="_GoBack"/>
      <w:bookmarkEnd w:id="2"/>
      <w:bookmarkEnd w:id="3"/>
      <w:r>
        <w:rPr>
          <w:b/>
          <w:color w:val="222222"/>
          <w:sz w:val="46"/>
          <w:szCs w:val="46"/>
        </w:rPr>
        <w:t>Objective</w:t>
      </w:r>
    </w:p>
    <w:p w:rsidR="002F5D85" w:rsidRDefault="00ED11B4">
      <w:pPr>
        <w:spacing w:before="200" w:line="360" w:lineRule="auto"/>
        <w:jc w:val="both"/>
        <w:rPr>
          <w:color w:val="222222"/>
        </w:rPr>
      </w:pPr>
      <w:r>
        <w:rPr>
          <w:color w:val="222222"/>
        </w:rPr>
        <w:t>The IT department head of the institute is looking at optimizing the program of the system as well as a better hosting solution to achieve quick and flexible resource scaling, and yet at a reasonable cost.</w:t>
      </w:r>
    </w:p>
    <w:p w:rsidR="002F5D85" w:rsidRDefault="00ED11B4">
      <w:pPr>
        <w:pStyle w:val="Heading1"/>
        <w:keepNext w:val="0"/>
        <w:keepLines w:val="0"/>
        <w:spacing w:before="480"/>
        <w:contextualSpacing w:val="0"/>
        <w:rPr>
          <w:b/>
          <w:color w:val="222222"/>
          <w:sz w:val="46"/>
          <w:szCs w:val="46"/>
        </w:rPr>
      </w:pPr>
      <w:bookmarkStart w:id="4" w:name="_2ipi6u48usyc" w:colFirst="0" w:colLast="0"/>
      <w:bookmarkEnd w:id="4"/>
      <w:r>
        <w:rPr>
          <w:b/>
          <w:color w:val="222222"/>
          <w:sz w:val="46"/>
          <w:szCs w:val="46"/>
        </w:rPr>
        <w:t>Cloud</w:t>
      </w:r>
      <w:r>
        <w:rPr>
          <w:b/>
          <w:color w:val="222222"/>
          <w:sz w:val="46"/>
          <w:szCs w:val="46"/>
        </w:rPr>
        <w:t xml:space="preserve"> Provider</w:t>
      </w:r>
    </w:p>
    <w:p w:rsidR="002F5D85" w:rsidRDefault="00ED11B4">
      <w:pPr>
        <w:spacing w:before="200" w:line="360" w:lineRule="auto"/>
        <w:jc w:val="both"/>
        <w:rPr>
          <w:color w:val="222222"/>
        </w:rPr>
      </w:pPr>
      <w:r>
        <w:rPr>
          <w:color w:val="222222"/>
        </w:rPr>
        <w:t>After a few internal meetings, the IT department head decided to migrate the system to Microsoft Azure Web App (PaaS).</w:t>
      </w:r>
    </w:p>
    <w:p w:rsidR="002F5D85" w:rsidRDefault="00ED11B4">
      <w:pPr>
        <w:pStyle w:val="Heading1"/>
        <w:keepNext w:val="0"/>
        <w:keepLines w:val="0"/>
        <w:spacing w:before="480"/>
        <w:contextualSpacing w:val="0"/>
        <w:rPr>
          <w:b/>
          <w:color w:val="222222"/>
          <w:sz w:val="46"/>
          <w:szCs w:val="46"/>
        </w:rPr>
      </w:pPr>
      <w:bookmarkStart w:id="5" w:name="_8bmhpr3yjpvk" w:colFirst="0" w:colLast="0"/>
      <w:bookmarkEnd w:id="5"/>
      <w:r>
        <w:rPr>
          <w:b/>
          <w:color w:val="222222"/>
          <w:sz w:val="46"/>
          <w:szCs w:val="46"/>
        </w:rPr>
        <w:t>Cloud Features</w:t>
      </w:r>
    </w:p>
    <w:p w:rsidR="002F5D85" w:rsidRDefault="00ED11B4">
      <w:pPr>
        <w:spacing w:before="200" w:line="360" w:lineRule="auto"/>
        <w:jc w:val="both"/>
      </w:pPr>
      <w:r>
        <w:t xml:space="preserve">In order to achieve the best performance, the team will explore and integrate the following services in the </w:t>
      </w:r>
      <w:r>
        <w:rPr>
          <w:color w:val="222222"/>
        </w:rPr>
        <w:t>syst</w:t>
      </w:r>
      <w:r>
        <w:rPr>
          <w:color w:val="222222"/>
        </w:rPr>
        <w:t>em</w:t>
      </w:r>
    </w:p>
    <w:p w:rsidR="002F5D85" w:rsidRDefault="002F5D85"/>
    <w:p w:rsidR="002F5D85" w:rsidRDefault="00ED11B4">
      <w:pPr>
        <w:numPr>
          <w:ilvl w:val="0"/>
          <w:numId w:val="1"/>
        </w:numPr>
        <w:ind w:hanging="360"/>
        <w:contextualSpacing/>
      </w:pPr>
      <w:r>
        <w:t>Azure CDN</w:t>
      </w:r>
    </w:p>
    <w:p w:rsidR="002F5D85" w:rsidRDefault="00ED11B4">
      <w:pPr>
        <w:numPr>
          <w:ilvl w:val="0"/>
          <w:numId w:val="1"/>
        </w:numPr>
        <w:ind w:hanging="360"/>
        <w:contextualSpacing/>
      </w:pPr>
      <w:r>
        <w:t>Azure Logic App for batch processing</w:t>
      </w:r>
    </w:p>
    <w:p w:rsidR="002F5D85" w:rsidRDefault="00ED11B4">
      <w:pPr>
        <w:spacing w:before="200" w:line="360" w:lineRule="auto"/>
        <w:jc w:val="both"/>
      </w:pPr>
      <w:r>
        <w:t xml:space="preserve">In order to achieve high availability, the team will explore and integrate the following services in the </w:t>
      </w:r>
      <w:r>
        <w:rPr>
          <w:color w:val="222222"/>
        </w:rPr>
        <w:t>system</w:t>
      </w:r>
    </w:p>
    <w:p w:rsidR="002F5D85" w:rsidRDefault="00ED11B4">
      <w:pPr>
        <w:numPr>
          <w:ilvl w:val="0"/>
          <w:numId w:val="1"/>
        </w:numPr>
        <w:ind w:hanging="360"/>
        <w:contextualSpacing/>
      </w:pPr>
      <w:r>
        <w:t>Auto scaling of Web App</w:t>
      </w:r>
    </w:p>
    <w:p w:rsidR="002F5D85" w:rsidRDefault="00ED11B4">
      <w:pPr>
        <w:numPr>
          <w:ilvl w:val="0"/>
          <w:numId w:val="1"/>
        </w:numPr>
        <w:ind w:hanging="360"/>
        <w:contextualSpacing/>
      </w:pPr>
      <w:r>
        <w:lastRenderedPageBreak/>
        <w:t>Geographical redundancy of Web App</w:t>
      </w:r>
    </w:p>
    <w:p w:rsidR="002F5D85" w:rsidRDefault="00ED11B4">
      <w:pPr>
        <w:numPr>
          <w:ilvl w:val="0"/>
          <w:numId w:val="1"/>
        </w:numPr>
        <w:ind w:hanging="360"/>
        <w:contextualSpacing/>
      </w:pPr>
      <w:r>
        <w:t xml:space="preserve">Geographical redundancy of Database </w:t>
      </w:r>
    </w:p>
    <w:p w:rsidR="002F5D85" w:rsidRDefault="00ED11B4">
      <w:pPr>
        <w:numPr>
          <w:ilvl w:val="0"/>
          <w:numId w:val="1"/>
        </w:numPr>
        <w:ind w:hanging="360"/>
        <w:contextualSpacing/>
      </w:pPr>
      <w:r>
        <w:t>Geographical redundancy of blob storage for course media files</w:t>
      </w:r>
    </w:p>
    <w:p w:rsidR="002F5D85" w:rsidRDefault="002F5D85"/>
    <w:p w:rsidR="002F5D85" w:rsidRDefault="00ED11B4">
      <w:pPr>
        <w:spacing w:before="200" w:line="360" w:lineRule="auto"/>
        <w:jc w:val="both"/>
        <w:rPr>
          <w:color w:val="222222"/>
        </w:rPr>
      </w:pPr>
      <w:r>
        <w:t xml:space="preserve">Additionally, some additional features will be explored and used for monitoring and reporting </w:t>
      </w:r>
      <w:r>
        <w:rPr>
          <w:color w:val="222222"/>
        </w:rPr>
        <w:t>purpose</w:t>
      </w:r>
    </w:p>
    <w:p w:rsidR="002F5D85" w:rsidRDefault="00ED11B4">
      <w:pPr>
        <w:numPr>
          <w:ilvl w:val="0"/>
          <w:numId w:val="1"/>
        </w:numPr>
        <w:ind w:hanging="360"/>
        <w:contextualSpacing/>
      </w:pPr>
      <w:r>
        <w:t>Application Insights for Analytics</w:t>
      </w:r>
    </w:p>
    <w:p w:rsidR="002F5D85" w:rsidRDefault="00ED11B4">
      <w:pPr>
        <w:numPr>
          <w:ilvl w:val="0"/>
          <w:numId w:val="1"/>
        </w:numPr>
        <w:ind w:hanging="360"/>
        <w:contextualSpacing/>
      </w:pPr>
      <w:r>
        <w:t>Application Insigh</w:t>
      </w:r>
      <w:r>
        <w:t>ts live stream and error monitoring</w:t>
      </w:r>
    </w:p>
    <w:p w:rsidR="002F5D85" w:rsidRDefault="00ED11B4">
      <w:pPr>
        <w:numPr>
          <w:ilvl w:val="0"/>
          <w:numId w:val="1"/>
        </w:numPr>
        <w:ind w:hanging="360"/>
        <w:contextualSpacing/>
      </w:pPr>
      <w:r>
        <w:t>Alert for high resource usage of Web App</w:t>
      </w:r>
    </w:p>
    <w:p w:rsidR="002F5D85" w:rsidRDefault="00ED11B4">
      <w:pPr>
        <w:numPr>
          <w:ilvl w:val="0"/>
          <w:numId w:val="1"/>
        </w:numPr>
        <w:ind w:hanging="360"/>
        <w:contextualSpacing/>
      </w:pPr>
      <w:r>
        <w:t>Alert for high resource usage of database</w:t>
      </w:r>
    </w:p>
    <w:p w:rsidR="002F5D85" w:rsidRDefault="002F5D85"/>
    <w:p w:rsidR="002F5D85" w:rsidRDefault="002F5D85"/>
    <w:p w:rsidR="002F5D85" w:rsidRDefault="002F5D85">
      <w:pPr>
        <w:rPr>
          <w:color w:val="222222"/>
        </w:rPr>
      </w:pPr>
    </w:p>
    <w:p w:rsidR="002F5D85" w:rsidRDefault="002F5D85">
      <w:pPr>
        <w:rPr>
          <w:color w:val="222222"/>
        </w:rPr>
      </w:pPr>
    </w:p>
    <w:p w:rsidR="002F5D85" w:rsidRDefault="00ED11B4">
      <w:pPr>
        <w:rPr>
          <w:color w:val="222222"/>
        </w:rPr>
      </w:pPr>
      <w:r>
        <w:rPr>
          <w:color w:val="222222"/>
        </w:rPr>
        <w:t xml:space="preserve"> </w:t>
      </w:r>
    </w:p>
    <w:p w:rsidR="002F5D85" w:rsidRDefault="002F5D85"/>
    <w:sectPr w:rsidR="002F5D8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3C0F"/>
    <w:multiLevelType w:val="multilevel"/>
    <w:tmpl w:val="84345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
  <w:rsids>
    <w:rsidRoot w:val="002F5D85"/>
    <w:rsid w:val="002F5D85"/>
    <w:rsid w:val="00E92D74"/>
    <w:rsid w:val="00ED11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8599A-87B0-41B5-9FBD-C630F683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 CHENG</cp:lastModifiedBy>
  <cp:revision>3</cp:revision>
  <dcterms:created xsi:type="dcterms:W3CDTF">2017-05-28T14:24:00Z</dcterms:created>
  <dcterms:modified xsi:type="dcterms:W3CDTF">2017-05-28T14:24:00Z</dcterms:modified>
</cp:coreProperties>
</file>